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73B" w:rsidRDefault="00C6773B">
      <w:pPr>
        <w:pStyle w:val="Ttulo1"/>
        <w:ind w:firstLine="0"/>
        <w:jc w:val="left"/>
        <w:rPr>
          <w:rFonts w:ascii="Montserrat ExtraBold" w:eastAsia="Montserrat ExtraBold" w:hAnsi="Montserrat ExtraBold" w:cs="Montserrat ExtraBold"/>
          <w:b w:val="0"/>
          <w:color w:val="003A5D"/>
          <w:sz w:val="32"/>
          <w:szCs w:val="32"/>
        </w:rPr>
      </w:pPr>
      <w:r>
        <w:rPr>
          <w:rFonts w:ascii="Arial" w:eastAsia="Arial" w:hAnsi="Arial" w:cs="Arial"/>
          <w:noProof/>
          <w:color w:val="000000"/>
          <w:sz w:val="18"/>
          <w:szCs w:val="18"/>
          <w:lang w:eastAsia="es-GT"/>
        </w:rPr>
        <w:drawing>
          <wp:anchor distT="0" distB="0" distL="114300" distR="114300" simplePos="0" relativeHeight="251669504" behindDoc="0" locked="0" layoutInCell="1" allowOverlap="1">
            <wp:simplePos x="0" y="0"/>
            <wp:positionH relativeFrom="margin">
              <wp:align>left</wp:align>
            </wp:positionH>
            <wp:positionV relativeFrom="paragraph">
              <wp:posOffset>-1162685</wp:posOffset>
            </wp:positionV>
            <wp:extent cx="5603899" cy="1038860"/>
            <wp:effectExtent l="0" t="0" r="0" b="8890"/>
            <wp:wrapNone/>
            <wp:docPr id="4" name="Imagen 4" descr="C:\Users\wleiva\AppData\Local\Microsoft\Windows\INetCache\Content.Word\para woe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leiva\AppData\Local\Microsoft\Windows\INetCache\Content.Word\para woer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899" cy="1038860"/>
                    </a:xfrm>
                    <a:prstGeom prst="rect">
                      <a:avLst/>
                    </a:prstGeom>
                    <a:noFill/>
                    <a:ln>
                      <a:noFill/>
                    </a:ln>
                  </pic:spPr>
                </pic:pic>
              </a:graphicData>
            </a:graphic>
            <wp14:sizeRelV relativeFrom="margin">
              <wp14:pctHeight>0</wp14:pctHeight>
            </wp14:sizeRelV>
          </wp:anchor>
        </w:drawing>
      </w:r>
      <w:r>
        <w:rPr>
          <w:noProof/>
          <w:lang w:eastAsia="es-GT"/>
        </w:rPr>
        <w:drawing>
          <wp:anchor distT="0" distB="0" distL="0" distR="0" simplePos="0" relativeHeight="251668480" behindDoc="1" locked="0" layoutInCell="1" hidden="0" allowOverlap="1" wp14:anchorId="2E95B648" wp14:editId="407EBC00">
            <wp:simplePos x="0" y="0"/>
            <wp:positionH relativeFrom="page">
              <wp:align>left</wp:align>
            </wp:positionH>
            <wp:positionV relativeFrom="paragraph">
              <wp:posOffset>-1163608</wp:posOffset>
            </wp:positionV>
            <wp:extent cx="7772400" cy="10058038"/>
            <wp:effectExtent l="0" t="0" r="0" b="635"/>
            <wp:wrapNone/>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7772400" cy="10058038"/>
                    </a:xfrm>
                    <a:prstGeom prst="rect">
                      <a:avLst/>
                    </a:prstGeom>
                    <a:ln/>
                  </pic:spPr>
                </pic:pic>
              </a:graphicData>
            </a:graphic>
          </wp:anchor>
        </w:drawing>
      </w:r>
    </w:p>
    <w:p w:rsidR="00C6773B" w:rsidRDefault="00C6773B" w:rsidP="00C6773B">
      <w:pPr>
        <w:pStyle w:val="Normal1"/>
        <w:rPr>
          <w:rFonts w:eastAsia="Montserrat ExtraBold"/>
        </w:rPr>
      </w:pPr>
      <w:r>
        <w:rPr>
          <w:rFonts w:eastAsia="Montserrat ExtraBold"/>
        </w:rPr>
        <w:br w:type="page"/>
      </w:r>
    </w:p>
    <w:p w:rsidR="00F24105" w:rsidRDefault="00197571">
      <w:pPr>
        <w:pStyle w:val="Ttulo1"/>
        <w:ind w:firstLine="0"/>
        <w:jc w:val="left"/>
        <w:rPr>
          <w:rFonts w:ascii="Montserrat ExtraBold" w:eastAsia="Montserrat ExtraBold" w:hAnsi="Montserrat ExtraBold" w:cs="Montserrat ExtraBold"/>
          <w:b w:val="0"/>
          <w:color w:val="003A5D"/>
          <w:sz w:val="32"/>
          <w:szCs w:val="32"/>
        </w:rPr>
      </w:pPr>
      <w:bookmarkStart w:id="0" w:name="_heading=h.gjdgxs" w:colFirst="0" w:colLast="0"/>
      <w:bookmarkEnd w:id="0"/>
      <w:r>
        <w:rPr>
          <w:rFonts w:ascii="Montserrat ExtraBold" w:eastAsia="Montserrat ExtraBold" w:hAnsi="Montserrat ExtraBold" w:cs="Montserrat ExtraBold"/>
          <w:b w:val="0"/>
          <w:color w:val="003A5D"/>
          <w:sz w:val="32"/>
          <w:szCs w:val="32"/>
        </w:rPr>
        <w:lastRenderedPageBreak/>
        <w:t>Introducción</w:t>
      </w:r>
    </w:p>
    <w:p w:rsidR="00F24105" w:rsidRDefault="00197571" w:rsidP="005D1073">
      <w:pPr>
        <w:widowControl w:val="0"/>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La Comisión Presidencial Contra la Discriminación y el Racismo contra los Pueblos Indígenas en Guatemala -CODISRA-, creada mediante acuerdo Gubernativo 390-2002, es un órgano de formulación y seguimiento de políticas y acciones orientadas al cumplimiento de lo establecido en la Constitución Política de la República de Guatemala, las leyes nacionales e internacionales, en lo relativo al reconocimiento, respeto y promoción de los derechos de los Pueblos Indígenas. </w:t>
      </w:r>
    </w:p>
    <w:p w:rsidR="005D1073" w:rsidRDefault="005D1073" w:rsidP="005D1073">
      <w:pPr>
        <w:widowControl w:val="0"/>
        <w:pBdr>
          <w:top w:val="nil"/>
          <w:left w:val="nil"/>
          <w:bottom w:val="nil"/>
          <w:right w:val="nil"/>
          <w:between w:val="nil"/>
        </w:pBdr>
        <w:spacing w:line="360" w:lineRule="auto"/>
        <w:jc w:val="both"/>
        <w:rPr>
          <w:rFonts w:ascii="Arial" w:eastAsia="Arial" w:hAnsi="Arial" w:cs="Arial"/>
          <w:color w:val="000000"/>
          <w:sz w:val="18"/>
          <w:szCs w:val="18"/>
        </w:rPr>
      </w:pPr>
    </w:p>
    <w:p w:rsidR="00F24105" w:rsidRDefault="00197571">
      <w:pPr>
        <w:widowControl w:val="0"/>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La CODISRA es la institución mandatada para asesorar y acompañar a las distintas instituciones y funcionarios del Estado, así como a las instituciones privadas, para desarrollar mecanismos efectivos en la prevención de la discriminación y el racismo contra los pueblos indígenas en Guatemala, entre otras de sus funciones están: </w:t>
      </w:r>
    </w:p>
    <w:p w:rsidR="00F24105" w:rsidRDefault="00F24105">
      <w:pPr>
        <w:widowControl w:val="0"/>
        <w:pBdr>
          <w:top w:val="nil"/>
          <w:left w:val="nil"/>
          <w:bottom w:val="nil"/>
          <w:right w:val="nil"/>
          <w:between w:val="nil"/>
        </w:pBdr>
        <w:spacing w:line="276" w:lineRule="auto"/>
        <w:ind w:firstLine="720"/>
        <w:jc w:val="both"/>
        <w:rPr>
          <w:rFonts w:ascii="Arial" w:eastAsia="Arial" w:hAnsi="Arial" w:cs="Arial"/>
          <w:color w:val="000000"/>
          <w:sz w:val="18"/>
          <w:szCs w:val="18"/>
        </w:rPr>
      </w:pPr>
    </w:p>
    <w:p w:rsidR="00F24105" w:rsidRDefault="00197571">
      <w:pPr>
        <w:numPr>
          <w:ilvl w:val="0"/>
          <w:numId w:val="4"/>
        </w:numPr>
        <w:pBdr>
          <w:top w:val="nil"/>
          <w:left w:val="nil"/>
          <w:bottom w:val="nil"/>
          <w:right w:val="nil"/>
          <w:between w:val="nil"/>
        </w:pBdr>
        <w:spacing w:after="160"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Formular políticas públicas que garanticen la no discriminación y el racismo contra los Pueblos Indígenas y dar seguimiento a su ejecución. </w:t>
      </w:r>
    </w:p>
    <w:p w:rsidR="00F24105" w:rsidRDefault="00197571">
      <w:pPr>
        <w:numPr>
          <w:ilvl w:val="0"/>
          <w:numId w:val="4"/>
        </w:numPr>
        <w:pBdr>
          <w:top w:val="nil"/>
          <w:left w:val="nil"/>
          <w:bottom w:val="nil"/>
          <w:right w:val="nil"/>
          <w:between w:val="nil"/>
        </w:pBdr>
        <w:spacing w:after="160"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Monitorear las políticas de las instituciones privadas y sugerir criterios a adoptar para afrontar positivamente el problema de la discriminación. </w:t>
      </w:r>
    </w:p>
    <w:p w:rsidR="00F24105" w:rsidRDefault="00197571">
      <w:pPr>
        <w:numPr>
          <w:ilvl w:val="0"/>
          <w:numId w:val="4"/>
        </w:numPr>
        <w:pBdr>
          <w:top w:val="nil"/>
          <w:left w:val="nil"/>
          <w:bottom w:val="nil"/>
          <w:right w:val="nil"/>
          <w:between w:val="nil"/>
        </w:pBdr>
        <w:spacing w:after="160" w:line="276" w:lineRule="auto"/>
        <w:jc w:val="both"/>
        <w:rPr>
          <w:rFonts w:ascii="Arial" w:eastAsia="Arial" w:hAnsi="Arial" w:cs="Arial"/>
          <w:color w:val="000000"/>
          <w:sz w:val="18"/>
          <w:szCs w:val="18"/>
        </w:rPr>
      </w:pPr>
      <w:r>
        <w:rPr>
          <w:rFonts w:ascii="Arial" w:eastAsia="Arial" w:hAnsi="Arial" w:cs="Arial"/>
          <w:color w:val="000000"/>
          <w:sz w:val="18"/>
          <w:szCs w:val="18"/>
        </w:rPr>
        <w:t>Actuar como enlace entre las organizaciones de los Pueblos Indígenas y el Organismo Ejecutivo, en materia de discriminación y racismo.</w:t>
      </w:r>
    </w:p>
    <w:p w:rsidR="00F24105" w:rsidRDefault="00197571">
      <w:pPr>
        <w:numPr>
          <w:ilvl w:val="0"/>
          <w:numId w:val="4"/>
        </w:numPr>
        <w:pBdr>
          <w:top w:val="nil"/>
          <w:left w:val="nil"/>
          <w:bottom w:val="nil"/>
          <w:right w:val="nil"/>
          <w:between w:val="nil"/>
        </w:pBdr>
        <w:spacing w:after="160" w:line="276" w:lineRule="auto"/>
        <w:jc w:val="both"/>
        <w:rPr>
          <w:rFonts w:ascii="Arial" w:eastAsia="Arial" w:hAnsi="Arial" w:cs="Arial"/>
          <w:color w:val="000000"/>
          <w:sz w:val="18"/>
          <w:szCs w:val="18"/>
        </w:rPr>
      </w:pPr>
      <w:r>
        <w:rPr>
          <w:rFonts w:ascii="Arial" w:eastAsia="Arial" w:hAnsi="Arial" w:cs="Arial"/>
          <w:color w:val="000000"/>
          <w:sz w:val="18"/>
          <w:szCs w:val="18"/>
        </w:rPr>
        <w:t>Llevar registro de denuncias de casos de racismo y discriminación y canalizarlo a las instituciones competentes.</w:t>
      </w:r>
    </w:p>
    <w:p w:rsidR="00F24105" w:rsidRDefault="00197571">
      <w:pPr>
        <w:numPr>
          <w:ilvl w:val="0"/>
          <w:numId w:val="4"/>
        </w:numPr>
        <w:pBdr>
          <w:top w:val="nil"/>
          <w:left w:val="nil"/>
          <w:bottom w:val="nil"/>
          <w:right w:val="nil"/>
          <w:between w:val="nil"/>
        </w:pBdr>
        <w:spacing w:after="160" w:line="276" w:lineRule="auto"/>
        <w:jc w:val="both"/>
        <w:rPr>
          <w:rFonts w:ascii="Arial" w:eastAsia="Arial" w:hAnsi="Arial" w:cs="Arial"/>
          <w:color w:val="000000"/>
          <w:sz w:val="18"/>
          <w:szCs w:val="18"/>
        </w:rPr>
      </w:pPr>
      <w:r>
        <w:rPr>
          <w:rFonts w:ascii="Arial" w:eastAsia="Arial" w:hAnsi="Arial" w:cs="Arial"/>
          <w:color w:val="000000"/>
          <w:sz w:val="18"/>
          <w:szCs w:val="18"/>
        </w:rPr>
        <w:t>Elaborar informes que el Estado de Guatemala deba presentar en materia indígena ante organismos internacionales.</w:t>
      </w:r>
    </w:p>
    <w:p w:rsidR="00F24105" w:rsidRDefault="00197571">
      <w:pPr>
        <w:numPr>
          <w:ilvl w:val="0"/>
          <w:numId w:val="4"/>
        </w:numPr>
        <w:pBdr>
          <w:top w:val="nil"/>
          <w:left w:val="nil"/>
          <w:bottom w:val="nil"/>
          <w:right w:val="nil"/>
          <w:between w:val="nil"/>
        </w:pBdr>
        <w:spacing w:after="160" w:line="276" w:lineRule="auto"/>
        <w:jc w:val="both"/>
        <w:rPr>
          <w:rFonts w:ascii="Arial" w:eastAsia="Arial" w:hAnsi="Arial" w:cs="Arial"/>
          <w:color w:val="000000"/>
          <w:sz w:val="18"/>
          <w:szCs w:val="18"/>
        </w:rPr>
      </w:pPr>
      <w:r>
        <w:rPr>
          <w:rFonts w:ascii="Arial" w:eastAsia="Arial" w:hAnsi="Arial" w:cs="Arial"/>
          <w:color w:val="000000"/>
          <w:sz w:val="18"/>
          <w:szCs w:val="18"/>
        </w:rPr>
        <w:t>Impulsar campañas de sensibilización ciudadana en contra de los actos de discriminación.</w:t>
      </w:r>
    </w:p>
    <w:p w:rsidR="00F24105" w:rsidRDefault="00197571">
      <w:pPr>
        <w:widowControl w:val="0"/>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Esta Comisión Presidencial surge como acción afirmativa a los pueblos indígenas y en respuesta a los compromisos nacionales e internacionales asumidos por el Estado, tales como la suscripción del Acuerdo sobre Identidad y Derechos de los Pueblos Indígenas</w:t>
      </w:r>
      <w:r>
        <w:rPr>
          <w:rFonts w:ascii="Arial" w:eastAsia="Arial" w:hAnsi="Arial" w:cs="Arial"/>
          <w:color w:val="000000"/>
          <w:sz w:val="18"/>
          <w:szCs w:val="18"/>
          <w:vertAlign w:val="superscript"/>
        </w:rPr>
        <w:footnoteReference w:id="1"/>
      </w:r>
      <w:r>
        <w:rPr>
          <w:rFonts w:ascii="Arial" w:eastAsia="Arial" w:hAnsi="Arial" w:cs="Arial"/>
          <w:color w:val="000000"/>
          <w:sz w:val="18"/>
          <w:szCs w:val="18"/>
        </w:rPr>
        <w:t xml:space="preserve"> y la ratificación de la Convención Internacional  sobre la Eliminación de todas las Formas de Discriminación Racial</w:t>
      </w:r>
      <w:r>
        <w:rPr>
          <w:rFonts w:ascii="Arial" w:eastAsia="Arial" w:hAnsi="Arial" w:cs="Arial"/>
          <w:color w:val="000000"/>
          <w:sz w:val="18"/>
          <w:szCs w:val="18"/>
          <w:vertAlign w:val="superscript"/>
        </w:rPr>
        <w:footnoteReference w:id="2"/>
      </w:r>
      <w:r>
        <w:rPr>
          <w:rFonts w:ascii="Arial" w:eastAsia="Arial" w:hAnsi="Arial" w:cs="Arial"/>
          <w:color w:val="000000"/>
          <w:sz w:val="18"/>
          <w:szCs w:val="18"/>
        </w:rPr>
        <w:t xml:space="preserve">.   </w:t>
      </w:r>
    </w:p>
    <w:p w:rsidR="00F24105" w:rsidRDefault="00197571">
      <w:pPr>
        <w:pStyle w:val="Ttulo1"/>
        <w:ind w:firstLine="0"/>
        <w:jc w:val="left"/>
        <w:rPr>
          <w:rFonts w:ascii="Montserrat ExtraBold" w:eastAsia="Montserrat ExtraBold" w:hAnsi="Montserrat ExtraBold" w:cs="Montserrat ExtraBold"/>
          <w:b w:val="0"/>
          <w:color w:val="003A5D"/>
          <w:sz w:val="32"/>
          <w:szCs w:val="32"/>
        </w:rPr>
      </w:pPr>
      <w:bookmarkStart w:id="1" w:name="_heading=h.30j0zll" w:colFirst="0" w:colLast="0"/>
      <w:bookmarkEnd w:id="1"/>
      <w:r>
        <w:rPr>
          <w:rFonts w:ascii="Montserrat ExtraBold" w:eastAsia="Montserrat ExtraBold" w:hAnsi="Montserrat ExtraBold" w:cs="Montserrat ExtraBold"/>
          <w:b w:val="0"/>
          <w:color w:val="003A5D"/>
          <w:sz w:val="32"/>
          <w:szCs w:val="32"/>
        </w:rPr>
        <w:t>General</w:t>
      </w:r>
    </w:p>
    <w:p w:rsidR="00F24105" w:rsidRDefault="00197571" w:rsidP="005D1073">
      <w:pPr>
        <w:widowControl w:val="0"/>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La CODISRA consciente de alcanzar la igualdad como un mecanismo para el </w:t>
      </w:r>
      <w:r w:rsidR="005D1073">
        <w:rPr>
          <w:rFonts w:ascii="Arial" w:eastAsia="Arial" w:hAnsi="Arial" w:cs="Arial"/>
          <w:color w:val="000000"/>
          <w:sz w:val="18"/>
          <w:szCs w:val="18"/>
        </w:rPr>
        <w:t>desarrollo, por</w:t>
      </w:r>
      <w:r>
        <w:rPr>
          <w:rFonts w:ascii="Arial" w:eastAsia="Arial" w:hAnsi="Arial" w:cs="Arial"/>
          <w:color w:val="000000"/>
          <w:sz w:val="18"/>
          <w:szCs w:val="18"/>
        </w:rPr>
        <w:t xml:space="preserve"> motivos éticos, políticos y económicos; presenta a continuación los resultados alcanzados de las intervenciones realizadas en búsqueda de una convivencia armónica donde prevalezca el respeto y el cumplimiento efectivo de los Derechos Humanos de todas y todos:</w:t>
      </w:r>
    </w:p>
    <w:p w:rsidR="005D1073" w:rsidRDefault="005D1073" w:rsidP="005D1073">
      <w:pPr>
        <w:widowControl w:val="0"/>
        <w:pBdr>
          <w:top w:val="nil"/>
          <w:left w:val="nil"/>
          <w:bottom w:val="nil"/>
          <w:right w:val="nil"/>
          <w:between w:val="nil"/>
        </w:pBdr>
        <w:spacing w:line="360" w:lineRule="auto"/>
        <w:jc w:val="both"/>
        <w:rPr>
          <w:rFonts w:ascii="Arial" w:eastAsia="Arial" w:hAnsi="Arial" w:cs="Arial"/>
          <w:color w:val="000000"/>
          <w:sz w:val="18"/>
          <w:szCs w:val="18"/>
        </w:rPr>
      </w:pPr>
    </w:p>
    <w:p w:rsidR="00F24105" w:rsidRDefault="00197571">
      <w:pPr>
        <w:numPr>
          <w:ilvl w:val="0"/>
          <w:numId w:val="3"/>
        </w:numPr>
        <w:pBdr>
          <w:top w:val="nil"/>
          <w:left w:val="nil"/>
          <w:bottom w:val="nil"/>
          <w:right w:val="nil"/>
          <w:between w:val="nil"/>
        </w:pBdr>
        <w:spacing w:line="360" w:lineRule="auto"/>
        <w:ind w:left="360"/>
        <w:jc w:val="both"/>
        <w:rPr>
          <w:rFonts w:ascii="Arial" w:eastAsia="Arial" w:hAnsi="Arial" w:cs="Arial"/>
          <w:color w:val="000000"/>
          <w:sz w:val="18"/>
          <w:szCs w:val="18"/>
        </w:rPr>
      </w:pPr>
      <w:r>
        <w:rPr>
          <w:rFonts w:ascii="Arial" w:eastAsia="Arial" w:hAnsi="Arial" w:cs="Arial"/>
          <w:color w:val="000000"/>
          <w:sz w:val="18"/>
          <w:szCs w:val="18"/>
        </w:rPr>
        <w:lastRenderedPageBreak/>
        <w:t>Promoción del Día Nacional de la Eliminación de todas las formas de Discriminación Racial y la Semana de Solidaridad con los Pueblos que luchan contra el Racismo y la Discriminación Racial</w:t>
      </w:r>
      <w:r>
        <w:rPr>
          <w:rFonts w:ascii="Arial" w:eastAsia="Arial" w:hAnsi="Arial" w:cs="Arial"/>
          <w:b/>
          <w:color w:val="000000"/>
          <w:sz w:val="18"/>
          <w:szCs w:val="18"/>
        </w:rPr>
        <w:t xml:space="preserve"> (Acuerdo Gubernativo 126-2004) </w:t>
      </w:r>
      <w:r>
        <w:rPr>
          <w:rFonts w:ascii="Arial" w:eastAsia="Arial" w:hAnsi="Arial" w:cs="Arial"/>
          <w:color w:val="000000"/>
          <w:sz w:val="18"/>
          <w:szCs w:val="18"/>
        </w:rPr>
        <w:t xml:space="preserve">como aporte a la construcción de la convivencia armónica en un Estado pluricultural, multiétnico y multilingüe.  </w:t>
      </w:r>
    </w:p>
    <w:p w:rsidR="00F24105" w:rsidRDefault="00197571">
      <w:pPr>
        <w:numPr>
          <w:ilvl w:val="0"/>
          <w:numId w:val="3"/>
        </w:numPr>
        <w:pBdr>
          <w:top w:val="nil"/>
          <w:left w:val="nil"/>
          <w:bottom w:val="nil"/>
          <w:right w:val="nil"/>
          <w:between w:val="nil"/>
        </w:pBdr>
        <w:spacing w:before="240" w:after="240" w:line="360" w:lineRule="auto"/>
        <w:ind w:left="426"/>
        <w:jc w:val="both"/>
        <w:rPr>
          <w:rFonts w:ascii="Arial" w:eastAsia="Arial" w:hAnsi="Arial" w:cs="Arial"/>
          <w:color w:val="000000"/>
          <w:sz w:val="18"/>
          <w:szCs w:val="18"/>
        </w:rPr>
      </w:pPr>
      <w:r>
        <w:rPr>
          <w:rFonts w:ascii="Arial" w:eastAsia="Arial" w:hAnsi="Arial" w:cs="Arial"/>
          <w:color w:val="000000"/>
          <w:sz w:val="18"/>
          <w:szCs w:val="18"/>
        </w:rPr>
        <w:t xml:space="preserve">Fortalecimiento de conocimientos y sensibilización a servidores públicos del Organismo Ejecutivo,  Municipalidades y sociedad civil, en temas relacionados a Derechos de los Pueblos Indígenas, Racismo y Discriminación Racial, para la implementación de acciones tendientes a la prevención y eliminación del racismo y la discriminación racial en los ámbitos:  social, económico, político y cultural, además se busca </w:t>
      </w:r>
      <w:r>
        <w:rPr>
          <w:rFonts w:ascii="Arial" w:eastAsia="Arial" w:hAnsi="Arial" w:cs="Arial"/>
          <w:color w:val="000000"/>
          <w:sz w:val="18"/>
          <w:szCs w:val="18"/>
          <w:highlight w:val="white"/>
        </w:rPr>
        <w:t xml:space="preserve">la transformación de actitudes, mentalidades y comportamientos, para la convivencia armónica.   </w:t>
      </w:r>
    </w:p>
    <w:p w:rsidR="00F24105" w:rsidRDefault="00197571">
      <w:pPr>
        <w:numPr>
          <w:ilvl w:val="0"/>
          <w:numId w:val="3"/>
        </w:numPr>
        <w:pBdr>
          <w:top w:val="nil"/>
          <w:left w:val="nil"/>
          <w:bottom w:val="nil"/>
          <w:right w:val="nil"/>
          <w:between w:val="nil"/>
        </w:pBdr>
        <w:spacing w:before="240" w:after="240" w:line="360" w:lineRule="auto"/>
        <w:ind w:left="426"/>
        <w:jc w:val="both"/>
        <w:rPr>
          <w:rFonts w:ascii="Arial" w:eastAsia="Arial" w:hAnsi="Arial" w:cs="Arial"/>
          <w:color w:val="000000"/>
          <w:sz w:val="18"/>
          <w:szCs w:val="18"/>
        </w:rPr>
      </w:pPr>
      <w:r>
        <w:rPr>
          <w:rFonts w:ascii="Arial" w:eastAsia="Arial" w:hAnsi="Arial" w:cs="Arial"/>
          <w:color w:val="000000"/>
          <w:sz w:val="18"/>
          <w:szCs w:val="18"/>
        </w:rPr>
        <w:t xml:space="preserve">Fortalecimiento de conocimientos a los miembros de la Red de Derivación de la Oficina de Atención a la Víctima del Ministerio Público (OAV-MP), en busca de la justicia pronta y cumplida a víctimas de discriminación hacia personas pertenecientes a los Pueblos Indígenas </w:t>
      </w:r>
    </w:p>
    <w:p w:rsidR="00F24105" w:rsidRDefault="00197571">
      <w:pPr>
        <w:numPr>
          <w:ilvl w:val="0"/>
          <w:numId w:val="3"/>
        </w:numPr>
        <w:pBdr>
          <w:top w:val="nil"/>
          <w:left w:val="nil"/>
          <w:bottom w:val="nil"/>
          <w:right w:val="nil"/>
          <w:between w:val="nil"/>
        </w:pBdr>
        <w:spacing w:line="360" w:lineRule="auto"/>
        <w:ind w:left="360"/>
        <w:jc w:val="both"/>
        <w:rPr>
          <w:rFonts w:ascii="Arial" w:eastAsia="Arial" w:hAnsi="Arial" w:cs="Arial"/>
          <w:color w:val="000000"/>
          <w:sz w:val="18"/>
          <w:szCs w:val="18"/>
        </w:rPr>
      </w:pPr>
      <w:r>
        <w:rPr>
          <w:rFonts w:ascii="Arial" w:eastAsia="Arial" w:hAnsi="Arial" w:cs="Arial"/>
          <w:color w:val="000000"/>
          <w:sz w:val="18"/>
          <w:szCs w:val="18"/>
        </w:rPr>
        <w:t>Abordaje de los efectos psicosociales del racismo y la Discriminación Racial en la vida de los pueblos Indígenas, con representantes de organizaciones de Pueblos Indígenas y servidores públicos.</w:t>
      </w:r>
    </w:p>
    <w:p w:rsidR="00F24105" w:rsidRDefault="00F24105">
      <w:pPr>
        <w:widowControl w:val="0"/>
        <w:pBdr>
          <w:top w:val="nil"/>
          <w:left w:val="nil"/>
          <w:bottom w:val="nil"/>
          <w:right w:val="nil"/>
          <w:between w:val="nil"/>
        </w:pBdr>
        <w:spacing w:line="360" w:lineRule="auto"/>
        <w:ind w:left="360"/>
        <w:jc w:val="both"/>
        <w:rPr>
          <w:rFonts w:ascii="Arial" w:eastAsia="Arial" w:hAnsi="Arial" w:cs="Arial"/>
          <w:color w:val="000000"/>
          <w:sz w:val="18"/>
          <w:szCs w:val="18"/>
        </w:rPr>
      </w:pPr>
    </w:p>
    <w:p w:rsidR="00F24105" w:rsidRDefault="00197571">
      <w:pPr>
        <w:numPr>
          <w:ilvl w:val="0"/>
          <w:numId w:val="3"/>
        </w:numPr>
        <w:pBdr>
          <w:top w:val="nil"/>
          <w:left w:val="nil"/>
          <w:bottom w:val="nil"/>
          <w:right w:val="nil"/>
          <w:between w:val="nil"/>
        </w:pBdr>
        <w:spacing w:line="360" w:lineRule="auto"/>
        <w:ind w:left="360"/>
        <w:jc w:val="both"/>
        <w:rPr>
          <w:rFonts w:ascii="Arial" w:eastAsia="Arial" w:hAnsi="Arial" w:cs="Arial"/>
          <w:color w:val="000000"/>
          <w:sz w:val="18"/>
          <w:szCs w:val="18"/>
        </w:rPr>
      </w:pPr>
      <w:r>
        <w:rPr>
          <w:rFonts w:ascii="Arial" w:eastAsia="Arial" w:hAnsi="Arial" w:cs="Arial"/>
          <w:color w:val="000000"/>
          <w:sz w:val="18"/>
          <w:szCs w:val="18"/>
        </w:rPr>
        <w:t>Establecimiento de coordinación interinstitucional con autoridades municipales e instituciones del Organismo Ejecutivo, para asumir compromisos en la ejecución de acciones en prevención del racismo y la discriminación Racial hacía los pueblos Indígenas a nivel municipal.</w:t>
      </w:r>
    </w:p>
    <w:p w:rsidR="00F24105" w:rsidRDefault="00197571">
      <w:pPr>
        <w:widowControl w:val="0"/>
        <w:pBdr>
          <w:top w:val="nil"/>
          <w:left w:val="nil"/>
          <w:bottom w:val="nil"/>
          <w:right w:val="nil"/>
          <w:between w:val="nil"/>
        </w:pBdr>
        <w:spacing w:line="360" w:lineRule="auto"/>
        <w:ind w:left="360"/>
        <w:jc w:val="both"/>
        <w:rPr>
          <w:rFonts w:ascii="Arial" w:eastAsia="Arial" w:hAnsi="Arial" w:cs="Arial"/>
          <w:color w:val="000000"/>
          <w:sz w:val="18"/>
          <w:szCs w:val="18"/>
        </w:rPr>
      </w:pPr>
      <w:r>
        <w:rPr>
          <w:rFonts w:ascii="Arial" w:eastAsia="Arial" w:hAnsi="Arial" w:cs="Arial"/>
          <w:color w:val="000000"/>
          <w:sz w:val="18"/>
          <w:szCs w:val="18"/>
        </w:rPr>
        <w:t xml:space="preserve"> </w:t>
      </w:r>
    </w:p>
    <w:p w:rsidR="00F24105" w:rsidRDefault="00197571">
      <w:pPr>
        <w:numPr>
          <w:ilvl w:val="0"/>
          <w:numId w:val="3"/>
        </w:numPr>
        <w:pBdr>
          <w:top w:val="nil"/>
          <w:left w:val="nil"/>
          <w:bottom w:val="nil"/>
          <w:right w:val="nil"/>
          <w:between w:val="nil"/>
        </w:pBdr>
        <w:spacing w:line="360" w:lineRule="auto"/>
        <w:ind w:left="360"/>
        <w:jc w:val="both"/>
        <w:rPr>
          <w:rFonts w:ascii="Arial" w:eastAsia="Arial" w:hAnsi="Arial" w:cs="Arial"/>
          <w:color w:val="000000"/>
          <w:sz w:val="18"/>
          <w:szCs w:val="18"/>
        </w:rPr>
      </w:pPr>
      <w:r>
        <w:rPr>
          <w:rFonts w:ascii="Arial" w:eastAsia="Arial" w:hAnsi="Arial" w:cs="Arial"/>
          <w:color w:val="000000"/>
          <w:sz w:val="18"/>
          <w:szCs w:val="18"/>
        </w:rPr>
        <w:t xml:space="preserve">Inicio de procesos formativos sistemáticos (diplomados) para el abordaje del racismo y la discriminación racial y Derechos de los Pueblos Indígenas, con estudiantes universitarios y servidores públicos para el fortalecimiento de sus conocimientos en este tema.   </w:t>
      </w:r>
    </w:p>
    <w:p w:rsidR="00F24105" w:rsidRDefault="00F24105">
      <w:pPr>
        <w:widowControl w:val="0"/>
        <w:pBdr>
          <w:top w:val="nil"/>
          <w:left w:val="nil"/>
          <w:bottom w:val="nil"/>
          <w:right w:val="nil"/>
          <w:between w:val="nil"/>
        </w:pBdr>
        <w:spacing w:line="360" w:lineRule="auto"/>
        <w:ind w:left="360"/>
        <w:jc w:val="both"/>
        <w:rPr>
          <w:rFonts w:ascii="Arial" w:eastAsia="Arial" w:hAnsi="Arial" w:cs="Arial"/>
          <w:color w:val="000000"/>
          <w:sz w:val="18"/>
          <w:szCs w:val="18"/>
        </w:rPr>
      </w:pPr>
    </w:p>
    <w:p w:rsidR="00F24105" w:rsidRDefault="00197571">
      <w:pPr>
        <w:numPr>
          <w:ilvl w:val="0"/>
          <w:numId w:val="3"/>
        </w:numPr>
        <w:pBdr>
          <w:top w:val="nil"/>
          <w:left w:val="nil"/>
          <w:bottom w:val="nil"/>
          <w:right w:val="nil"/>
          <w:between w:val="nil"/>
        </w:pBdr>
        <w:spacing w:line="360" w:lineRule="auto"/>
        <w:ind w:left="360"/>
        <w:jc w:val="both"/>
        <w:rPr>
          <w:rFonts w:ascii="Arial" w:eastAsia="Arial" w:hAnsi="Arial" w:cs="Arial"/>
          <w:color w:val="000000"/>
          <w:sz w:val="18"/>
          <w:szCs w:val="18"/>
        </w:rPr>
      </w:pPr>
      <w:r>
        <w:rPr>
          <w:rFonts w:ascii="Arial" w:eastAsia="Arial" w:hAnsi="Arial" w:cs="Arial"/>
          <w:color w:val="000000"/>
          <w:sz w:val="18"/>
          <w:szCs w:val="18"/>
        </w:rPr>
        <w:t xml:space="preserve">Asesoría y acompañamiento a Pueblos Indígenas víctimas de la vulneración de sus derechos, que no se vinculan o encuadran en delito discriminación, por lo tanto, estos </w:t>
      </w:r>
      <w:r w:rsidR="005D1073">
        <w:rPr>
          <w:rFonts w:ascii="Arial" w:eastAsia="Arial" w:hAnsi="Arial" w:cs="Arial"/>
          <w:color w:val="000000"/>
          <w:sz w:val="18"/>
          <w:szCs w:val="18"/>
        </w:rPr>
        <w:t>casos se</w:t>
      </w:r>
      <w:r>
        <w:rPr>
          <w:rFonts w:ascii="Arial" w:eastAsia="Arial" w:hAnsi="Arial" w:cs="Arial"/>
          <w:color w:val="000000"/>
          <w:sz w:val="18"/>
          <w:szCs w:val="18"/>
        </w:rPr>
        <w:t xml:space="preserve"> derivan a las instancias competentes. </w:t>
      </w:r>
    </w:p>
    <w:p w:rsidR="00F24105" w:rsidRDefault="00F24105">
      <w:pPr>
        <w:pBdr>
          <w:top w:val="nil"/>
          <w:left w:val="nil"/>
          <w:bottom w:val="nil"/>
          <w:right w:val="nil"/>
          <w:between w:val="nil"/>
        </w:pBdr>
        <w:spacing w:line="360" w:lineRule="auto"/>
        <w:ind w:firstLine="720"/>
        <w:jc w:val="both"/>
        <w:rPr>
          <w:rFonts w:ascii="Arial" w:eastAsia="Arial" w:hAnsi="Arial" w:cs="Arial"/>
          <w:color w:val="000000"/>
          <w:sz w:val="18"/>
          <w:szCs w:val="18"/>
        </w:rPr>
      </w:pPr>
    </w:p>
    <w:p w:rsidR="00F24105" w:rsidRDefault="00197571">
      <w:pPr>
        <w:numPr>
          <w:ilvl w:val="0"/>
          <w:numId w:val="3"/>
        </w:numPr>
        <w:pBdr>
          <w:top w:val="nil"/>
          <w:left w:val="nil"/>
          <w:bottom w:val="nil"/>
          <w:right w:val="nil"/>
          <w:between w:val="nil"/>
        </w:pBdr>
        <w:spacing w:line="360" w:lineRule="auto"/>
        <w:ind w:left="360"/>
        <w:jc w:val="both"/>
        <w:rPr>
          <w:rFonts w:ascii="Arial" w:eastAsia="Arial" w:hAnsi="Arial" w:cs="Arial"/>
          <w:color w:val="000000"/>
          <w:sz w:val="18"/>
          <w:szCs w:val="18"/>
        </w:rPr>
      </w:pPr>
      <w:r>
        <w:rPr>
          <w:rFonts w:ascii="Arial" w:eastAsia="Arial" w:hAnsi="Arial" w:cs="Arial"/>
          <w:color w:val="000000"/>
          <w:sz w:val="18"/>
          <w:szCs w:val="18"/>
        </w:rPr>
        <w:t xml:space="preserve">Canalización de casos de discriminación hacia Pueblos Indígenas al Ministerio Público para su respectiva </w:t>
      </w:r>
      <w:r w:rsidR="005D1073">
        <w:rPr>
          <w:rFonts w:ascii="Arial" w:eastAsia="Arial" w:hAnsi="Arial" w:cs="Arial"/>
          <w:color w:val="000000"/>
          <w:sz w:val="18"/>
          <w:szCs w:val="18"/>
        </w:rPr>
        <w:t>investigación, los</w:t>
      </w:r>
      <w:r>
        <w:rPr>
          <w:rFonts w:ascii="Arial" w:eastAsia="Arial" w:hAnsi="Arial" w:cs="Arial"/>
          <w:color w:val="000000"/>
          <w:sz w:val="18"/>
          <w:szCs w:val="18"/>
        </w:rPr>
        <w:t xml:space="preserve"> cuales se monitorean y da seguimiento, para conocer su estado y avance.</w:t>
      </w:r>
    </w:p>
    <w:p w:rsidR="00F24105" w:rsidRDefault="00F24105">
      <w:pPr>
        <w:pBdr>
          <w:top w:val="nil"/>
          <w:left w:val="nil"/>
          <w:bottom w:val="nil"/>
          <w:right w:val="nil"/>
          <w:between w:val="nil"/>
        </w:pBdr>
        <w:spacing w:line="360" w:lineRule="auto"/>
        <w:ind w:left="720" w:firstLine="720"/>
        <w:jc w:val="both"/>
        <w:rPr>
          <w:rFonts w:ascii="Arial" w:eastAsia="Arial" w:hAnsi="Arial" w:cs="Arial"/>
          <w:color w:val="000000"/>
          <w:sz w:val="18"/>
          <w:szCs w:val="18"/>
        </w:rPr>
      </w:pPr>
    </w:p>
    <w:p w:rsidR="00F24105" w:rsidRDefault="00197571">
      <w:pPr>
        <w:numPr>
          <w:ilvl w:val="0"/>
          <w:numId w:val="3"/>
        </w:numPr>
        <w:pBdr>
          <w:top w:val="nil"/>
          <w:left w:val="nil"/>
          <w:bottom w:val="nil"/>
          <w:right w:val="nil"/>
          <w:between w:val="nil"/>
        </w:pBdr>
        <w:spacing w:line="360" w:lineRule="auto"/>
        <w:ind w:left="360"/>
        <w:jc w:val="both"/>
        <w:rPr>
          <w:rFonts w:ascii="Arial" w:eastAsia="Arial" w:hAnsi="Arial" w:cs="Arial"/>
          <w:color w:val="000000"/>
          <w:sz w:val="18"/>
          <w:szCs w:val="18"/>
        </w:rPr>
      </w:pPr>
      <w:r>
        <w:rPr>
          <w:rFonts w:ascii="Arial" w:eastAsia="Arial" w:hAnsi="Arial" w:cs="Arial"/>
          <w:color w:val="000000"/>
          <w:sz w:val="18"/>
          <w:szCs w:val="18"/>
        </w:rPr>
        <w:t>Fortalecimiento de la mesa técnica interinstitucional para el litigio estratégico, como un espacio de comunicación e intercambio temático enfocado al litigio estratégico en casos de discriminación contra pueblos indígenas.  Integrado por instituciones del sector justicia: Organismo Judicial -OJ-, Ministerio Público -MP-, Instituto Nacional de Ciencias Forenses -INACIF-, Instituto de la Defensa Pública Penal -IDPP- y Policía Nacional Civil -PNC-; así como entes relacionados como: la Defensoría de la Mujer Indígena -DEMI-, Consejo Nacional para la Atención de las Personas con Discapacidad -CONADI- y la Procuraduría de los Derechos Humanos -PDH-.</w:t>
      </w:r>
    </w:p>
    <w:p w:rsidR="00F24105" w:rsidRDefault="00F24105">
      <w:pPr>
        <w:pBdr>
          <w:top w:val="nil"/>
          <w:left w:val="nil"/>
          <w:bottom w:val="nil"/>
          <w:right w:val="nil"/>
          <w:between w:val="nil"/>
        </w:pBdr>
        <w:spacing w:line="360" w:lineRule="auto"/>
        <w:ind w:firstLine="720"/>
        <w:jc w:val="both"/>
        <w:rPr>
          <w:rFonts w:ascii="Arial" w:eastAsia="Arial" w:hAnsi="Arial" w:cs="Arial"/>
          <w:color w:val="000000"/>
          <w:sz w:val="18"/>
          <w:szCs w:val="18"/>
        </w:rPr>
      </w:pPr>
    </w:p>
    <w:p w:rsidR="00F24105" w:rsidRDefault="00197571">
      <w:p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lastRenderedPageBreak/>
        <w:t>El presente informe, da a conocer los avances y detalle de la ejecución financiera del programa 52 “Acciones contra la Discriminación y el Racismo contra los Pueblos Indígenas en Guatemala”, así como los esfuerzos del equipo de trabajo de la CODISRA, por fortalecer una gestión orientada a la gestión por resultado. La estructura presupuestaria está conformada por un programa y una actividad vinculados a un resultado establecido dentro del Plan Estratégico Institucional (PEI), para alcanzar dicho resultado se tiene una red de categoría programática integrada por un producto el cual se subdivide en cinco subproductos, cada uno con su respectivamente meta, las cuales están vinculadas al resultado institucional y que en su conjunto constituyen el Plan Operativo Anual 2021.</w:t>
      </w:r>
    </w:p>
    <w:p w:rsidR="00F24105" w:rsidRDefault="00197571" w:rsidP="005D1073">
      <w:pPr>
        <w:pBdr>
          <w:top w:val="nil"/>
          <w:left w:val="nil"/>
          <w:bottom w:val="nil"/>
          <w:right w:val="nil"/>
          <w:between w:val="nil"/>
        </w:pBdr>
        <w:spacing w:before="240" w:line="276" w:lineRule="auto"/>
        <w:jc w:val="both"/>
        <w:rPr>
          <w:rFonts w:ascii="Arial" w:eastAsia="Arial" w:hAnsi="Arial" w:cs="Arial"/>
          <w:color w:val="000000"/>
          <w:sz w:val="18"/>
          <w:szCs w:val="18"/>
        </w:rPr>
      </w:pPr>
      <w:r>
        <w:rPr>
          <w:rFonts w:ascii="Arial" w:eastAsia="Arial" w:hAnsi="Arial" w:cs="Arial"/>
          <w:color w:val="000000"/>
          <w:sz w:val="18"/>
          <w:szCs w:val="18"/>
        </w:rPr>
        <w:t xml:space="preserve">En el siguiente cuadro se hace una descripción de la distribución financiera a nivel del Vigente, Ejecutado </w:t>
      </w:r>
      <w:r w:rsidR="005D1073">
        <w:rPr>
          <w:rFonts w:ascii="Arial" w:eastAsia="Arial" w:hAnsi="Arial" w:cs="Arial"/>
          <w:color w:val="000000"/>
          <w:sz w:val="18"/>
          <w:szCs w:val="18"/>
        </w:rPr>
        <w:t>y Saldo</w:t>
      </w:r>
      <w:r>
        <w:rPr>
          <w:rFonts w:ascii="Arial" w:eastAsia="Arial" w:hAnsi="Arial" w:cs="Arial"/>
          <w:color w:val="000000"/>
          <w:sz w:val="18"/>
          <w:szCs w:val="18"/>
        </w:rPr>
        <w:t xml:space="preserve"> por ejecutar y su distribución en el presupuesto por grupo de gasto y como se ejecutó cada uno durante el primer cuatrimestre del año 2021. </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68"/>
        <w:gridCol w:w="1607"/>
        <w:gridCol w:w="1620"/>
        <w:gridCol w:w="1605"/>
        <w:gridCol w:w="1829"/>
      </w:tblGrid>
      <w:tr w:rsidR="00F24105">
        <w:tc>
          <w:tcPr>
            <w:tcW w:w="2368" w:type="dxa"/>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Grupo de Gasto</w:t>
            </w:r>
          </w:p>
        </w:tc>
        <w:tc>
          <w:tcPr>
            <w:tcW w:w="1607" w:type="dxa"/>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Asignado</w:t>
            </w:r>
          </w:p>
        </w:tc>
        <w:tc>
          <w:tcPr>
            <w:tcW w:w="1620" w:type="dxa"/>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Vigente</w:t>
            </w:r>
          </w:p>
        </w:tc>
        <w:tc>
          <w:tcPr>
            <w:tcW w:w="1605" w:type="dxa"/>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Devengado</w:t>
            </w:r>
          </w:p>
        </w:tc>
        <w:tc>
          <w:tcPr>
            <w:tcW w:w="1829" w:type="dxa"/>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jc w:val="center"/>
              <w:rPr>
                <w:rFonts w:ascii="Arial" w:eastAsia="Arial" w:hAnsi="Arial" w:cs="Arial"/>
                <w:b/>
                <w:color w:val="000000"/>
                <w:sz w:val="18"/>
                <w:szCs w:val="18"/>
              </w:rPr>
            </w:pPr>
            <w:r>
              <w:rPr>
                <w:rFonts w:ascii="Arial" w:eastAsia="Arial" w:hAnsi="Arial" w:cs="Arial"/>
                <w:b/>
                <w:color w:val="000000"/>
                <w:sz w:val="18"/>
                <w:szCs w:val="18"/>
              </w:rPr>
              <w:t>Saldo por Ejecutar</w:t>
            </w:r>
          </w:p>
        </w:tc>
      </w:tr>
      <w:tr w:rsidR="00F24105">
        <w:trPr>
          <w:trHeight w:val="522"/>
        </w:trPr>
        <w:tc>
          <w:tcPr>
            <w:tcW w:w="2368" w:type="dxa"/>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0 Servicios Personales</w:t>
            </w:r>
          </w:p>
        </w:tc>
        <w:tc>
          <w:tcPr>
            <w:tcW w:w="1607" w:type="dxa"/>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6,142,680.00</w:t>
            </w:r>
          </w:p>
        </w:tc>
        <w:tc>
          <w:tcPr>
            <w:tcW w:w="1620" w:type="dxa"/>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6,332,042.00</w:t>
            </w:r>
          </w:p>
        </w:tc>
        <w:tc>
          <w:tcPr>
            <w:tcW w:w="1605" w:type="dxa"/>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1,574,356.50</w:t>
            </w:r>
          </w:p>
        </w:tc>
        <w:tc>
          <w:tcPr>
            <w:tcW w:w="1829" w:type="dxa"/>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4,757,685.50</w:t>
            </w:r>
          </w:p>
        </w:tc>
      </w:tr>
      <w:tr w:rsidR="00F24105">
        <w:tc>
          <w:tcPr>
            <w:tcW w:w="2368" w:type="dxa"/>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100 Servicios No Personales</w:t>
            </w:r>
          </w:p>
        </w:tc>
        <w:tc>
          <w:tcPr>
            <w:tcW w:w="1607" w:type="dxa"/>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4,041,078.00</w:t>
            </w:r>
          </w:p>
        </w:tc>
        <w:tc>
          <w:tcPr>
            <w:tcW w:w="1620" w:type="dxa"/>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2,767,117.00</w:t>
            </w:r>
          </w:p>
        </w:tc>
        <w:tc>
          <w:tcPr>
            <w:tcW w:w="1605" w:type="dxa"/>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274,419.32</w:t>
            </w:r>
          </w:p>
        </w:tc>
        <w:tc>
          <w:tcPr>
            <w:tcW w:w="1829" w:type="dxa"/>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2,492,697.68</w:t>
            </w:r>
          </w:p>
        </w:tc>
      </w:tr>
      <w:tr w:rsidR="00F24105">
        <w:tc>
          <w:tcPr>
            <w:tcW w:w="2368" w:type="dxa"/>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200 Materiales y Suministros</w:t>
            </w:r>
          </w:p>
        </w:tc>
        <w:tc>
          <w:tcPr>
            <w:tcW w:w="1607" w:type="dxa"/>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236,982.00</w:t>
            </w:r>
          </w:p>
        </w:tc>
        <w:tc>
          <w:tcPr>
            <w:tcW w:w="1620" w:type="dxa"/>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529,960.00</w:t>
            </w:r>
          </w:p>
        </w:tc>
        <w:tc>
          <w:tcPr>
            <w:tcW w:w="1605" w:type="dxa"/>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102,906.88</w:t>
            </w:r>
          </w:p>
        </w:tc>
        <w:tc>
          <w:tcPr>
            <w:tcW w:w="1829" w:type="dxa"/>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427,053.12</w:t>
            </w:r>
          </w:p>
        </w:tc>
      </w:tr>
      <w:tr w:rsidR="00F24105">
        <w:tc>
          <w:tcPr>
            <w:tcW w:w="2368" w:type="dxa"/>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300 Propiedad, Planta, Equipo e Intangibles</w:t>
            </w:r>
          </w:p>
        </w:tc>
        <w:tc>
          <w:tcPr>
            <w:tcW w:w="1607" w:type="dxa"/>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79,260.00</w:t>
            </w:r>
          </w:p>
        </w:tc>
        <w:tc>
          <w:tcPr>
            <w:tcW w:w="1620" w:type="dxa"/>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185,423.00</w:t>
            </w:r>
          </w:p>
        </w:tc>
        <w:tc>
          <w:tcPr>
            <w:tcW w:w="1605" w:type="dxa"/>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0.00</w:t>
            </w:r>
          </w:p>
        </w:tc>
        <w:tc>
          <w:tcPr>
            <w:tcW w:w="1829" w:type="dxa"/>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185,458.00</w:t>
            </w:r>
          </w:p>
        </w:tc>
      </w:tr>
      <w:tr w:rsidR="00F24105">
        <w:tc>
          <w:tcPr>
            <w:tcW w:w="2368" w:type="dxa"/>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400 Transferencias Corrientes</w:t>
            </w:r>
          </w:p>
        </w:tc>
        <w:tc>
          <w:tcPr>
            <w:tcW w:w="1607" w:type="dxa"/>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0.00</w:t>
            </w:r>
          </w:p>
        </w:tc>
        <w:tc>
          <w:tcPr>
            <w:tcW w:w="1620" w:type="dxa"/>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685,458.00</w:t>
            </w:r>
          </w:p>
        </w:tc>
        <w:tc>
          <w:tcPr>
            <w:tcW w:w="1605" w:type="dxa"/>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0.00</w:t>
            </w:r>
          </w:p>
        </w:tc>
        <w:tc>
          <w:tcPr>
            <w:tcW w:w="1829" w:type="dxa"/>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Q. 685,458.00</w:t>
            </w:r>
          </w:p>
        </w:tc>
      </w:tr>
      <w:tr w:rsidR="00F24105">
        <w:tc>
          <w:tcPr>
            <w:tcW w:w="2368" w:type="dxa"/>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b/>
                <w:color w:val="000000"/>
                <w:sz w:val="18"/>
                <w:szCs w:val="18"/>
              </w:rPr>
            </w:pPr>
            <w:r>
              <w:rPr>
                <w:rFonts w:ascii="Arial" w:eastAsia="Arial" w:hAnsi="Arial" w:cs="Arial"/>
                <w:b/>
                <w:color w:val="000000"/>
                <w:sz w:val="18"/>
                <w:szCs w:val="18"/>
              </w:rPr>
              <w:t>Totales</w:t>
            </w:r>
          </w:p>
        </w:tc>
        <w:tc>
          <w:tcPr>
            <w:tcW w:w="1607" w:type="dxa"/>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b/>
                <w:color w:val="000000"/>
                <w:sz w:val="18"/>
                <w:szCs w:val="18"/>
              </w:rPr>
            </w:pPr>
            <w:r>
              <w:rPr>
                <w:rFonts w:ascii="Arial" w:eastAsia="Arial" w:hAnsi="Arial" w:cs="Arial"/>
                <w:color w:val="000000"/>
                <w:sz w:val="18"/>
                <w:szCs w:val="18"/>
              </w:rPr>
              <w:t xml:space="preserve">Q. </w:t>
            </w:r>
            <w:r>
              <w:rPr>
                <w:rFonts w:ascii="Arial" w:eastAsia="Arial" w:hAnsi="Arial" w:cs="Arial"/>
                <w:b/>
                <w:color w:val="000000"/>
                <w:sz w:val="18"/>
                <w:szCs w:val="18"/>
              </w:rPr>
              <w:t>10,500,000.00</w:t>
            </w:r>
          </w:p>
        </w:tc>
        <w:tc>
          <w:tcPr>
            <w:tcW w:w="1620" w:type="dxa"/>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b/>
                <w:color w:val="000000"/>
                <w:sz w:val="18"/>
                <w:szCs w:val="18"/>
              </w:rPr>
            </w:pPr>
            <w:r>
              <w:rPr>
                <w:rFonts w:ascii="Arial" w:eastAsia="Arial" w:hAnsi="Arial" w:cs="Arial"/>
                <w:color w:val="000000"/>
                <w:sz w:val="18"/>
                <w:szCs w:val="18"/>
              </w:rPr>
              <w:t xml:space="preserve">Q. </w:t>
            </w:r>
            <w:r>
              <w:rPr>
                <w:rFonts w:ascii="Arial" w:eastAsia="Arial" w:hAnsi="Arial" w:cs="Arial"/>
                <w:b/>
                <w:color w:val="000000"/>
                <w:sz w:val="18"/>
                <w:szCs w:val="18"/>
              </w:rPr>
              <w:t>10,500,000.00</w:t>
            </w:r>
          </w:p>
        </w:tc>
        <w:tc>
          <w:tcPr>
            <w:tcW w:w="1605" w:type="dxa"/>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jc w:val="right"/>
              <w:rPr>
                <w:rFonts w:ascii="Arial" w:eastAsia="Arial" w:hAnsi="Arial" w:cs="Arial"/>
                <w:b/>
                <w:color w:val="000000"/>
                <w:sz w:val="18"/>
                <w:szCs w:val="18"/>
              </w:rPr>
            </w:pPr>
            <w:r>
              <w:rPr>
                <w:rFonts w:ascii="Arial" w:eastAsia="Arial" w:hAnsi="Arial" w:cs="Arial"/>
                <w:color w:val="000000"/>
                <w:sz w:val="18"/>
                <w:szCs w:val="18"/>
              </w:rPr>
              <w:t xml:space="preserve">Q. </w:t>
            </w:r>
            <w:r>
              <w:rPr>
                <w:rFonts w:ascii="Arial" w:eastAsia="Arial" w:hAnsi="Arial" w:cs="Arial"/>
                <w:b/>
                <w:color w:val="000000"/>
                <w:sz w:val="18"/>
                <w:szCs w:val="18"/>
              </w:rPr>
              <w:t>1,951,682.70</w:t>
            </w:r>
          </w:p>
        </w:tc>
        <w:tc>
          <w:tcPr>
            <w:tcW w:w="1829" w:type="dxa"/>
            <w:shd w:val="clear" w:color="auto" w:fill="CFE2F3"/>
            <w:tcMar>
              <w:top w:w="100" w:type="dxa"/>
              <w:left w:w="100" w:type="dxa"/>
              <w:bottom w:w="100" w:type="dxa"/>
              <w:right w:w="100" w:type="dxa"/>
            </w:tcMar>
          </w:tcPr>
          <w:p w:rsidR="00F24105" w:rsidRDefault="00197571">
            <w:pPr>
              <w:keepNext/>
              <w:widowControl w:val="0"/>
              <w:pBdr>
                <w:top w:val="nil"/>
                <w:left w:val="nil"/>
                <w:bottom w:val="nil"/>
                <w:right w:val="nil"/>
                <w:between w:val="nil"/>
              </w:pBdr>
              <w:jc w:val="right"/>
              <w:rPr>
                <w:rFonts w:ascii="Arial" w:eastAsia="Arial" w:hAnsi="Arial" w:cs="Arial"/>
                <w:b/>
                <w:color w:val="000000"/>
                <w:sz w:val="18"/>
                <w:szCs w:val="18"/>
              </w:rPr>
            </w:pPr>
            <w:r>
              <w:rPr>
                <w:rFonts w:ascii="Arial" w:eastAsia="Arial" w:hAnsi="Arial" w:cs="Arial"/>
                <w:color w:val="000000"/>
                <w:sz w:val="18"/>
                <w:szCs w:val="18"/>
              </w:rPr>
              <w:t xml:space="preserve">Q. </w:t>
            </w:r>
            <w:r>
              <w:rPr>
                <w:rFonts w:ascii="Arial" w:eastAsia="Arial" w:hAnsi="Arial" w:cs="Arial"/>
                <w:b/>
                <w:color w:val="000000"/>
                <w:sz w:val="18"/>
                <w:szCs w:val="18"/>
              </w:rPr>
              <w:t>8,548,317.30</w:t>
            </w:r>
          </w:p>
        </w:tc>
      </w:tr>
    </w:tbl>
    <w:p w:rsidR="005D1073" w:rsidRDefault="00197571" w:rsidP="005D1073">
      <w:pPr>
        <w:pBdr>
          <w:top w:val="nil"/>
          <w:left w:val="nil"/>
          <w:bottom w:val="nil"/>
          <w:right w:val="nil"/>
          <w:between w:val="nil"/>
        </w:pBdr>
        <w:spacing w:after="200"/>
        <w:rPr>
          <w:b/>
          <w:color w:val="4472C4"/>
          <w:sz w:val="18"/>
          <w:szCs w:val="18"/>
        </w:rPr>
      </w:pPr>
      <w:r>
        <w:rPr>
          <w:b/>
          <w:color w:val="4472C4"/>
          <w:sz w:val="18"/>
          <w:szCs w:val="18"/>
        </w:rPr>
        <w:t>Tabla 1: Distribución financiera por grupo de gasto.</w:t>
      </w:r>
    </w:p>
    <w:p w:rsidR="00F24105" w:rsidRPr="005D1073" w:rsidRDefault="00197571" w:rsidP="005D1073">
      <w:pPr>
        <w:pBdr>
          <w:top w:val="nil"/>
          <w:left w:val="nil"/>
          <w:bottom w:val="nil"/>
          <w:right w:val="nil"/>
          <w:between w:val="nil"/>
        </w:pBdr>
        <w:spacing w:after="200"/>
        <w:rPr>
          <w:b/>
          <w:color w:val="4472C4"/>
          <w:sz w:val="18"/>
          <w:szCs w:val="18"/>
        </w:rPr>
      </w:pPr>
      <w:r>
        <w:rPr>
          <w:rFonts w:ascii="Arial" w:eastAsia="Arial" w:hAnsi="Arial" w:cs="Arial"/>
          <w:color w:val="000000"/>
          <w:sz w:val="18"/>
          <w:szCs w:val="18"/>
        </w:rPr>
        <w:t>En la siguiente gráfica se  muestra el presupuesto asignado, vigente, ejecutado y saldo por ejecutar, por grupo de gasto.</w:t>
      </w:r>
      <w:r>
        <w:rPr>
          <w:noProof/>
        </w:rPr>
        <w:drawing>
          <wp:anchor distT="0" distB="0" distL="0" distR="0" simplePos="0" relativeHeight="251659264" behindDoc="0" locked="0" layoutInCell="1" hidden="0" allowOverlap="1">
            <wp:simplePos x="0" y="0"/>
            <wp:positionH relativeFrom="column">
              <wp:posOffset>2257425</wp:posOffset>
            </wp:positionH>
            <wp:positionV relativeFrom="paragraph">
              <wp:posOffset>238125</wp:posOffset>
            </wp:positionV>
            <wp:extent cx="3267075" cy="2496855"/>
            <wp:effectExtent l="0" t="0" r="0" b="0"/>
            <wp:wrapSquare wrapText="bothSides" distT="0" distB="0" distL="0" distR="0"/>
            <wp:docPr id="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3267075" cy="2496855"/>
                    </a:xfrm>
                    <a:prstGeom prst="rect">
                      <a:avLst/>
                    </a:prstGeom>
                    <a:ln/>
                  </pic:spPr>
                </pic:pic>
              </a:graphicData>
            </a:graphic>
          </wp:anchor>
        </w:drawing>
      </w:r>
    </w:p>
    <w:p w:rsidR="00F24105" w:rsidRDefault="00F24105">
      <w:pPr>
        <w:pBdr>
          <w:top w:val="nil"/>
          <w:left w:val="nil"/>
          <w:bottom w:val="nil"/>
          <w:right w:val="nil"/>
          <w:between w:val="nil"/>
        </w:pBdr>
        <w:spacing w:line="360" w:lineRule="auto"/>
        <w:rPr>
          <w:rFonts w:ascii="Arial" w:eastAsia="Arial" w:hAnsi="Arial" w:cs="Arial"/>
          <w:color w:val="000000"/>
          <w:sz w:val="18"/>
          <w:szCs w:val="18"/>
        </w:rPr>
      </w:pPr>
    </w:p>
    <w:p w:rsidR="00F24105" w:rsidRDefault="00197571">
      <w:pPr>
        <w:numPr>
          <w:ilvl w:val="0"/>
          <w:numId w:val="1"/>
        </w:numPr>
        <w:pBdr>
          <w:top w:val="nil"/>
          <w:left w:val="nil"/>
          <w:bottom w:val="nil"/>
          <w:right w:val="nil"/>
          <w:between w:val="nil"/>
        </w:pBdr>
        <w:spacing w:line="360" w:lineRule="auto"/>
        <w:ind w:left="0" w:firstLine="0"/>
        <w:jc w:val="both"/>
        <w:rPr>
          <w:rFonts w:ascii="Arial" w:eastAsia="Arial" w:hAnsi="Arial" w:cs="Arial"/>
          <w:color w:val="000000"/>
          <w:sz w:val="18"/>
          <w:szCs w:val="18"/>
        </w:rPr>
      </w:pPr>
      <w:r>
        <w:rPr>
          <w:rFonts w:ascii="Arial" w:eastAsia="Arial" w:hAnsi="Arial" w:cs="Arial"/>
          <w:color w:val="000000"/>
          <w:sz w:val="18"/>
          <w:szCs w:val="18"/>
        </w:rPr>
        <w:t xml:space="preserve">Presupuesto </w:t>
      </w:r>
      <w:r>
        <w:rPr>
          <w:rFonts w:ascii="Arial" w:eastAsia="Arial" w:hAnsi="Arial" w:cs="Arial"/>
          <w:b/>
          <w:color w:val="000000"/>
          <w:sz w:val="18"/>
          <w:szCs w:val="18"/>
        </w:rPr>
        <w:t>Asignado</w:t>
      </w:r>
      <w:r>
        <w:rPr>
          <w:rFonts w:ascii="Arial" w:eastAsia="Arial" w:hAnsi="Arial" w:cs="Arial"/>
          <w:color w:val="000000"/>
          <w:sz w:val="18"/>
          <w:szCs w:val="18"/>
        </w:rPr>
        <w:t xml:space="preserve"> </w:t>
      </w:r>
    </w:p>
    <w:p w:rsidR="00F24105" w:rsidRDefault="00197571">
      <w:pPr>
        <w:pBdr>
          <w:top w:val="nil"/>
          <w:left w:val="nil"/>
          <w:bottom w:val="nil"/>
          <w:right w:val="nil"/>
          <w:between w:val="nil"/>
        </w:pBdr>
        <w:spacing w:line="360" w:lineRule="auto"/>
        <w:ind w:firstLine="708"/>
        <w:jc w:val="both"/>
        <w:rPr>
          <w:rFonts w:ascii="Arial" w:eastAsia="Arial" w:hAnsi="Arial" w:cs="Arial"/>
          <w:color w:val="000000"/>
          <w:sz w:val="18"/>
          <w:szCs w:val="18"/>
        </w:rPr>
      </w:pPr>
      <w:r>
        <w:rPr>
          <w:rFonts w:ascii="Arial" w:eastAsia="Arial" w:hAnsi="Arial" w:cs="Arial"/>
          <w:color w:val="000000"/>
          <w:sz w:val="18"/>
          <w:szCs w:val="18"/>
        </w:rPr>
        <w:t>Q.10,500,000.00</w:t>
      </w:r>
    </w:p>
    <w:p w:rsidR="00F24105" w:rsidRDefault="00197571">
      <w:pPr>
        <w:numPr>
          <w:ilvl w:val="0"/>
          <w:numId w:val="1"/>
        </w:numPr>
        <w:pBdr>
          <w:top w:val="nil"/>
          <w:left w:val="nil"/>
          <w:bottom w:val="nil"/>
          <w:right w:val="nil"/>
          <w:between w:val="nil"/>
        </w:pBdr>
        <w:spacing w:line="360" w:lineRule="auto"/>
        <w:ind w:left="0" w:firstLine="0"/>
        <w:jc w:val="both"/>
        <w:rPr>
          <w:rFonts w:ascii="Arial" w:eastAsia="Arial" w:hAnsi="Arial" w:cs="Arial"/>
          <w:color w:val="000000"/>
          <w:sz w:val="18"/>
          <w:szCs w:val="18"/>
        </w:rPr>
      </w:pPr>
      <w:r>
        <w:rPr>
          <w:rFonts w:ascii="Arial" w:eastAsia="Arial" w:hAnsi="Arial" w:cs="Arial"/>
          <w:color w:val="000000"/>
          <w:sz w:val="18"/>
          <w:szCs w:val="18"/>
        </w:rPr>
        <w:t xml:space="preserve">Presupuesto </w:t>
      </w:r>
      <w:r>
        <w:rPr>
          <w:rFonts w:ascii="Arial" w:eastAsia="Arial" w:hAnsi="Arial" w:cs="Arial"/>
          <w:b/>
          <w:color w:val="000000"/>
          <w:sz w:val="18"/>
          <w:szCs w:val="18"/>
        </w:rPr>
        <w:t>Vigente</w:t>
      </w:r>
      <w:r>
        <w:rPr>
          <w:rFonts w:ascii="Arial" w:eastAsia="Arial" w:hAnsi="Arial" w:cs="Arial"/>
          <w:color w:val="000000"/>
          <w:sz w:val="18"/>
          <w:szCs w:val="18"/>
        </w:rPr>
        <w:t xml:space="preserve">    </w:t>
      </w:r>
    </w:p>
    <w:p w:rsidR="00F24105" w:rsidRDefault="00197571">
      <w:pPr>
        <w:pBdr>
          <w:top w:val="nil"/>
          <w:left w:val="nil"/>
          <w:bottom w:val="nil"/>
          <w:right w:val="nil"/>
          <w:between w:val="nil"/>
        </w:pBdr>
        <w:spacing w:line="360" w:lineRule="auto"/>
        <w:ind w:firstLine="708"/>
        <w:jc w:val="both"/>
        <w:rPr>
          <w:rFonts w:ascii="Arial" w:eastAsia="Arial" w:hAnsi="Arial" w:cs="Arial"/>
          <w:color w:val="000000"/>
          <w:sz w:val="18"/>
          <w:szCs w:val="18"/>
        </w:rPr>
      </w:pPr>
      <w:r>
        <w:rPr>
          <w:rFonts w:ascii="Arial" w:eastAsia="Arial" w:hAnsi="Arial" w:cs="Arial"/>
          <w:color w:val="000000"/>
          <w:sz w:val="18"/>
          <w:szCs w:val="18"/>
        </w:rPr>
        <w:t>Q.10,500,000.00</w:t>
      </w:r>
    </w:p>
    <w:p w:rsidR="00F24105" w:rsidRDefault="00197571">
      <w:pPr>
        <w:numPr>
          <w:ilvl w:val="0"/>
          <w:numId w:val="1"/>
        </w:numPr>
        <w:pBdr>
          <w:top w:val="nil"/>
          <w:left w:val="nil"/>
          <w:bottom w:val="nil"/>
          <w:right w:val="nil"/>
          <w:between w:val="nil"/>
        </w:pBdr>
        <w:spacing w:line="360" w:lineRule="auto"/>
        <w:ind w:left="0" w:firstLine="0"/>
        <w:jc w:val="both"/>
        <w:rPr>
          <w:rFonts w:ascii="Arial" w:eastAsia="Arial" w:hAnsi="Arial" w:cs="Arial"/>
          <w:color w:val="000000"/>
          <w:sz w:val="18"/>
          <w:szCs w:val="18"/>
        </w:rPr>
      </w:pPr>
      <w:r>
        <w:rPr>
          <w:rFonts w:ascii="Arial" w:eastAsia="Arial" w:hAnsi="Arial" w:cs="Arial"/>
          <w:color w:val="000000"/>
          <w:sz w:val="18"/>
          <w:szCs w:val="18"/>
        </w:rPr>
        <w:t xml:space="preserve">Presupuesto </w:t>
      </w:r>
      <w:r>
        <w:rPr>
          <w:rFonts w:ascii="Arial" w:eastAsia="Arial" w:hAnsi="Arial" w:cs="Arial"/>
          <w:b/>
          <w:color w:val="000000"/>
          <w:sz w:val="18"/>
          <w:szCs w:val="18"/>
        </w:rPr>
        <w:t>Ejecutado</w:t>
      </w:r>
      <w:r>
        <w:rPr>
          <w:rFonts w:ascii="Arial" w:eastAsia="Arial" w:hAnsi="Arial" w:cs="Arial"/>
          <w:color w:val="000000"/>
          <w:sz w:val="18"/>
          <w:szCs w:val="18"/>
        </w:rPr>
        <w:t xml:space="preserve"> </w:t>
      </w:r>
    </w:p>
    <w:p w:rsidR="00F24105" w:rsidRDefault="00197571">
      <w:pPr>
        <w:pBdr>
          <w:top w:val="nil"/>
          <w:left w:val="nil"/>
          <w:bottom w:val="nil"/>
          <w:right w:val="nil"/>
          <w:between w:val="nil"/>
        </w:pBdr>
        <w:spacing w:line="360" w:lineRule="auto"/>
        <w:ind w:firstLine="708"/>
        <w:jc w:val="both"/>
        <w:rPr>
          <w:rFonts w:ascii="Arial" w:eastAsia="Arial" w:hAnsi="Arial" w:cs="Arial"/>
          <w:color w:val="000000"/>
          <w:sz w:val="18"/>
          <w:szCs w:val="18"/>
        </w:rPr>
      </w:pPr>
      <w:r>
        <w:rPr>
          <w:rFonts w:ascii="Arial" w:eastAsia="Arial" w:hAnsi="Arial" w:cs="Arial"/>
          <w:color w:val="000000"/>
          <w:sz w:val="18"/>
          <w:szCs w:val="18"/>
        </w:rPr>
        <w:t>Q.  1,951,682.70</w:t>
      </w:r>
    </w:p>
    <w:p w:rsidR="00F24105" w:rsidRDefault="00197571">
      <w:pPr>
        <w:numPr>
          <w:ilvl w:val="0"/>
          <w:numId w:val="1"/>
        </w:numPr>
        <w:pBdr>
          <w:top w:val="nil"/>
          <w:left w:val="nil"/>
          <w:bottom w:val="nil"/>
          <w:right w:val="nil"/>
          <w:between w:val="nil"/>
        </w:pBdr>
        <w:spacing w:line="360" w:lineRule="auto"/>
        <w:ind w:left="0" w:firstLine="0"/>
        <w:jc w:val="both"/>
        <w:rPr>
          <w:rFonts w:ascii="Arial" w:eastAsia="Arial" w:hAnsi="Arial" w:cs="Arial"/>
          <w:color w:val="000000"/>
          <w:sz w:val="18"/>
          <w:szCs w:val="18"/>
        </w:rPr>
      </w:pPr>
      <w:r>
        <w:rPr>
          <w:rFonts w:ascii="Arial" w:eastAsia="Arial" w:hAnsi="Arial" w:cs="Arial"/>
          <w:b/>
          <w:color w:val="000000"/>
          <w:sz w:val="18"/>
          <w:szCs w:val="18"/>
        </w:rPr>
        <w:t>Saldo</w:t>
      </w:r>
      <w:r>
        <w:rPr>
          <w:rFonts w:ascii="Arial" w:eastAsia="Arial" w:hAnsi="Arial" w:cs="Arial"/>
          <w:color w:val="000000"/>
          <w:sz w:val="18"/>
          <w:szCs w:val="18"/>
        </w:rPr>
        <w:t xml:space="preserve"> por Ejecutar      </w:t>
      </w:r>
    </w:p>
    <w:p w:rsidR="00F24105" w:rsidRDefault="00197571">
      <w:pPr>
        <w:pBdr>
          <w:top w:val="nil"/>
          <w:left w:val="nil"/>
          <w:bottom w:val="nil"/>
          <w:right w:val="nil"/>
          <w:between w:val="nil"/>
        </w:pBdr>
        <w:spacing w:line="360" w:lineRule="auto"/>
        <w:ind w:firstLine="708"/>
        <w:jc w:val="both"/>
        <w:rPr>
          <w:rFonts w:ascii="Arial" w:eastAsia="Arial" w:hAnsi="Arial" w:cs="Arial"/>
          <w:color w:val="000000"/>
          <w:sz w:val="18"/>
          <w:szCs w:val="18"/>
        </w:rPr>
      </w:pPr>
      <w:r>
        <w:rPr>
          <w:rFonts w:ascii="Arial" w:eastAsia="Arial" w:hAnsi="Arial" w:cs="Arial"/>
          <w:color w:val="000000"/>
          <w:sz w:val="18"/>
          <w:szCs w:val="18"/>
        </w:rPr>
        <w:t xml:space="preserve"> Q.  8,548,317.30</w:t>
      </w:r>
    </w:p>
    <w:p w:rsidR="00F24105" w:rsidRDefault="00F24105">
      <w:pPr>
        <w:pBdr>
          <w:top w:val="nil"/>
          <w:left w:val="nil"/>
          <w:bottom w:val="nil"/>
          <w:right w:val="nil"/>
          <w:between w:val="nil"/>
        </w:pBdr>
        <w:spacing w:line="360" w:lineRule="auto"/>
        <w:jc w:val="both"/>
        <w:rPr>
          <w:rFonts w:ascii="Arial" w:eastAsia="Arial" w:hAnsi="Arial" w:cs="Arial"/>
          <w:color w:val="000000"/>
          <w:sz w:val="18"/>
          <w:szCs w:val="18"/>
        </w:rPr>
      </w:pPr>
    </w:p>
    <w:p w:rsidR="00F24105" w:rsidRDefault="00197571">
      <w:p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La ilustración 2 muestra la ejecución del grupo de gasto de servicios personales:</w:t>
      </w:r>
    </w:p>
    <w:p w:rsidR="00F24105" w:rsidRDefault="00197571">
      <w:pPr>
        <w:pBdr>
          <w:top w:val="nil"/>
          <w:left w:val="nil"/>
          <w:bottom w:val="nil"/>
          <w:right w:val="nil"/>
          <w:between w:val="nil"/>
        </w:pBdr>
        <w:spacing w:line="360" w:lineRule="auto"/>
        <w:jc w:val="both"/>
        <w:rPr>
          <w:rFonts w:ascii="Arial" w:eastAsia="Arial" w:hAnsi="Arial" w:cs="Arial"/>
          <w:color w:val="000000"/>
          <w:sz w:val="18"/>
          <w:szCs w:val="18"/>
        </w:rPr>
      </w:pPr>
      <w:r>
        <w:rPr>
          <w:noProof/>
        </w:rPr>
        <mc:AlternateContent>
          <mc:Choice Requires="wpg">
            <w:drawing>
              <wp:anchor distT="0" distB="0" distL="114300" distR="114300" simplePos="0" relativeHeight="251660288" behindDoc="0" locked="0" layoutInCell="1" hidden="0" allowOverlap="1">
                <wp:simplePos x="0" y="0"/>
                <wp:positionH relativeFrom="column">
                  <wp:posOffset>2343150</wp:posOffset>
                </wp:positionH>
                <wp:positionV relativeFrom="paragraph">
                  <wp:posOffset>65051</wp:posOffset>
                </wp:positionV>
                <wp:extent cx="3276600" cy="455875"/>
                <wp:effectExtent l="0" t="0" r="0" b="0"/>
                <wp:wrapNone/>
                <wp:docPr id="29" name="Forma libre 29"/>
                <wp:cNvGraphicFramePr/>
                <a:graphic xmlns:a="http://schemas.openxmlformats.org/drawingml/2006/main">
                  <a:graphicData uri="http://schemas.microsoft.com/office/word/2010/wordprocessingShape">
                    <wps:wsp>
                      <wps:cNvSpPr/>
                      <wps:spPr>
                        <a:xfrm>
                          <a:off x="3712463" y="3577118"/>
                          <a:ext cx="3267075" cy="405765"/>
                        </a:xfrm>
                        <a:custGeom>
                          <a:avLst/>
                          <a:gdLst/>
                          <a:ahLst/>
                          <a:cxnLst/>
                          <a:rect l="l" t="t" r="r" b="b"/>
                          <a:pathLst>
                            <a:path w="3267075" h="405765" extrusionOk="0">
                              <a:moveTo>
                                <a:pt x="0" y="0"/>
                              </a:moveTo>
                              <a:lnTo>
                                <a:pt x="0" y="405765"/>
                              </a:lnTo>
                              <a:lnTo>
                                <a:pt x="3267075" y="405765"/>
                              </a:lnTo>
                              <a:lnTo>
                                <a:pt x="3267075" y="0"/>
                              </a:lnTo>
                              <a:close/>
                            </a:path>
                          </a:pathLst>
                        </a:custGeom>
                        <a:solidFill>
                          <a:srgbClr val="FFFFFF"/>
                        </a:solidFill>
                        <a:ln>
                          <a:noFill/>
                        </a:ln>
                      </wps:spPr>
                      <wps:txbx>
                        <w:txbxContent>
                          <w:p w:rsidR="00F24105" w:rsidRDefault="00197571">
                            <w:pPr>
                              <w:spacing w:after="200"/>
                              <w:textDirection w:val="btLr"/>
                            </w:pPr>
                            <w:r>
                              <w:rPr>
                                <w:rFonts w:ascii="Arial" w:eastAsia="Arial" w:hAnsi="Arial" w:cs="Arial"/>
                                <w:b/>
                                <w:color w:val="4472C4"/>
                                <w:sz w:val="18"/>
                              </w:rPr>
                              <w:t>Ilustracion 1 : Presupuesto Asignado, Vigente, Ejecutado y Por Ejecutar por grupo de gasto.</w:t>
                            </w:r>
                          </w:p>
                        </w:txbxContent>
                      </wps:txbx>
                      <wps:bodyPr spcFirstLastPara="1" wrap="square" lIns="88900" tIns="38100" rIns="88900" bIns="381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2343150</wp:posOffset>
                </wp:positionH>
                <wp:positionV relativeFrom="paragraph">
                  <wp:posOffset>65051</wp:posOffset>
                </wp:positionV>
                <wp:extent cx="3276600" cy="455875"/>
                <wp:effectExtent b="0" l="0" r="0" t="0"/>
                <wp:wrapNone/>
                <wp:docPr id="29"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3276600" cy="455875"/>
                        </a:xfrm>
                        <a:prstGeom prst="rect"/>
                        <a:ln/>
                      </pic:spPr>
                    </pic:pic>
                  </a:graphicData>
                </a:graphic>
              </wp:anchor>
            </w:drawing>
          </mc:Fallback>
        </mc:AlternateContent>
      </w:r>
    </w:p>
    <w:p w:rsidR="00F24105" w:rsidRDefault="00F24105">
      <w:pPr>
        <w:keepNext/>
        <w:pBdr>
          <w:top w:val="nil"/>
          <w:left w:val="nil"/>
          <w:bottom w:val="nil"/>
          <w:right w:val="nil"/>
          <w:between w:val="nil"/>
        </w:pBdr>
        <w:spacing w:line="360" w:lineRule="auto"/>
        <w:ind w:firstLine="720"/>
        <w:jc w:val="right"/>
        <w:rPr>
          <w:rFonts w:ascii="Times New Roman" w:eastAsia="Times New Roman" w:hAnsi="Times New Roman" w:cs="Times New Roman"/>
          <w:color w:val="000000"/>
        </w:rPr>
      </w:pPr>
    </w:p>
    <w:p w:rsidR="00F24105" w:rsidRDefault="00197571">
      <w:pPr>
        <w:numPr>
          <w:ilvl w:val="0"/>
          <w:numId w:val="7"/>
        </w:num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Presupuesto </w:t>
      </w:r>
      <w:r>
        <w:rPr>
          <w:rFonts w:ascii="Arial" w:eastAsia="Arial" w:hAnsi="Arial" w:cs="Arial"/>
          <w:b/>
          <w:color w:val="000000"/>
          <w:sz w:val="18"/>
          <w:szCs w:val="18"/>
        </w:rPr>
        <w:t>Vigente</w:t>
      </w:r>
      <w:r>
        <w:rPr>
          <w:rFonts w:ascii="Arial" w:eastAsia="Arial" w:hAnsi="Arial" w:cs="Arial"/>
          <w:color w:val="000000"/>
          <w:sz w:val="18"/>
          <w:szCs w:val="18"/>
        </w:rPr>
        <w:t xml:space="preserve">  </w:t>
      </w:r>
      <w:r>
        <w:rPr>
          <w:rFonts w:ascii="Arial" w:eastAsia="Arial" w:hAnsi="Arial" w:cs="Arial"/>
          <w:color w:val="000000"/>
          <w:sz w:val="18"/>
          <w:szCs w:val="18"/>
        </w:rPr>
        <w:tab/>
      </w:r>
      <w:r>
        <w:rPr>
          <w:rFonts w:ascii="Arial" w:eastAsia="Arial" w:hAnsi="Arial" w:cs="Arial"/>
          <w:color w:val="000000"/>
          <w:sz w:val="18"/>
          <w:szCs w:val="18"/>
        </w:rPr>
        <w:tab/>
      </w:r>
      <w:r>
        <w:rPr>
          <w:noProof/>
        </w:rPr>
        <w:drawing>
          <wp:anchor distT="0" distB="0" distL="0" distR="0" simplePos="0" relativeHeight="251661312" behindDoc="0" locked="0" layoutInCell="1" hidden="0" allowOverlap="1">
            <wp:simplePos x="0" y="0"/>
            <wp:positionH relativeFrom="column">
              <wp:posOffset>2257425</wp:posOffset>
            </wp:positionH>
            <wp:positionV relativeFrom="paragraph">
              <wp:posOffset>73072</wp:posOffset>
            </wp:positionV>
            <wp:extent cx="3447332" cy="1971675"/>
            <wp:effectExtent l="0" t="0" r="0" b="0"/>
            <wp:wrapSquare wrapText="bothSides" distT="0" distB="0" distL="0" distR="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447332" cy="1971675"/>
                    </a:xfrm>
                    <a:prstGeom prst="rect">
                      <a:avLst/>
                    </a:prstGeom>
                    <a:ln/>
                  </pic:spPr>
                </pic:pic>
              </a:graphicData>
            </a:graphic>
          </wp:anchor>
        </w:drawing>
      </w:r>
    </w:p>
    <w:p w:rsidR="00F24105" w:rsidRDefault="00197571">
      <w:pPr>
        <w:pBdr>
          <w:top w:val="nil"/>
          <w:left w:val="nil"/>
          <w:bottom w:val="nil"/>
          <w:right w:val="nil"/>
          <w:between w:val="nil"/>
        </w:pBdr>
        <w:spacing w:line="360" w:lineRule="auto"/>
        <w:ind w:left="720"/>
        <w:jc w:val="both"/>
        <w:rPr>
          <w:rFonts w:ascii="Arial" w:eastAsia="Arial" w:hAnsi="Arial" w:cs="Arial"/>
          <w:color w:val="000000"/>
          <w:sz w:val="18"/>
          <w:szCs w:val="18"/>
        </w:rPr>
      </w:pPr>
      <w:r>
        <w:rPr>
          <w:rFonts w:ascii="Arial" w:eastAsia="Arial" w:hAnsi="Arial" w:cs="Arial"/>
          <w:color w:val="000000"/>
          <w:sz w:val="18"/>
          <w:szCs w:val="18"/>
        </w:rPr>
        <w:t xml:space="preserve">Q.6,332,042.00 </w:t>
      </w:r>
      <w:r>
        <w:rPr>
          <w:rFonts w:ascii="Arial" w:eastAsia="Arial" w:hAnsi="Arial" w:cs="Arial"/>
          <w:color w:val="000000"/>
          <w:sz w:val="18"/>
          <w:szCs w:val="18"/>
        </w:rPr>
        <w:tab/>
        <w:t xml:space="preserve"> </w:t>
      </w:r>
    </w:p>
    <w:p w:rsidR="00F24105" w:rsidRDefault="005D1073">
      <w:pPr>
        <w:numPr>
          <w:ilvl w:val="0"/>
          <w:numId w:val="7"/>
        </w:num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Presupuesto Ejecutado</w:t>
      </w:r>
      <w:r w:rsidR="00197571">
        <w:rPr>
          <w:rFonts w:ascii="Arial" w:eastAsia="Arial" w:hAnsi="Arial" w:cs="Arial"/>
          <w:b/>
          <w:color w:val="000000"/>
          <w:sz w:val="18"/>
          <w:szCs w:val="18"/>
        </w:rPr>
        <w:tab/>
      </w:r>
      <w:r w:rsidR="00197571">
        <w:rPr>
          <w:rFonts w:ascii="Arial" w:eastAsia="Arial" w:hAnsi="Arial" w:cs="Arial"/>
          <w:color w:val="000000"/>
          <w:sz w:val="18"/>
          <w:szCs w:val="18"/>
        </w:rPr>
        <w:t xml:space="preserve"> </w:t>
      </w:r>
    </w:p>
    <w:p w:rsidR="00F24105" w:rsidRDefault="00197571">
      <w:pPr>
        <w:pBdr>
          <w:top w:val="nil"/>
          <w:left w:val="nil"/>
          <w:bottom w:val="nil"/>
          <w:right w:val="nil"/>
          <w:between w:val="nil"/>
        </w:pBdr>
        <w:spacing w:line="360" w:lineRule="auto"/>
        <w:ind w:left="720"/>
        <w:jc w:val="both"/>
        <w:rPr>
          <w:rFonts w:ascii="Arial" w:eastAsia="Arial" w:hAnsi="Arial" w:cs="Arial"/>
          <w:color w:val="000000"/>
          <w:sz w:val="18"/>
          <w:szCs w:val="18"/>
        </w:rPr>
      </w:pPr>
      <w:r>
        <w:rPr>
          <w:rFonts w:ascii="Arial" w:eastAsia="Arial" w:hAnsi="Arial" w:cs="Arial"/>
          <w:color w:val="000000"/>
          <w:sz w:val="18"/>
          <w:szCs w:val="18"/>
        </w:rPr>
        <w:t xml:space="preserve">Q.1,574,356.50 </w:t>
      </w:r>
      <w:r>
        <w:rPr>
          <w:rFonts w:ascii="Arial" w:eastAsia="Arial" w:hAnsi="Arial" w:cs="Arial"/>
          <w:color w:val="000000"/>
          <w:sz w:val="18"/>
          <w:szCs w:val="18"/>
        </w:rPr>
        <w:tab/>
      </w:r>
    </w:p>
    <w:p w:rsidR="00F24105" w:rsidRDefault="00197571">
      <w:pPr>
        <w:numPr>
          <w:ilvl w:val="0"/>
          <w:numId w:val="7"/>
        </w:num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b/>
          <w:color w:val="000000"/>
          <w:sz w:val="18"/>
          <w:szCs w:val="18"/>
        </w:rPr>
        <w:t>Saldo</w:t>
      </w:r>
      <w:r>
        <w:rPr>
          <w:rFonts w:ascii="Arial" w:eastAsia="Arial" w:hAnsi="Arial" w:cs="Arial"/>
          <w:color w:val="000000"/>
          <w:sz w:val="18"/>
          <w:szCs w:val="18"/>
        </w:rPr>
        <w:t xml:space="preserve"> por Ejecutar </w:t>
      </w:r>
    </w:p>
    <w:p w:rsidR="00F24105" w:rsidRDefault="00197571">
      <w:pPr>
        <w:pBdr>
          <w:top w:val="nil"/>
          <w:left w:val="nil"/>
          <w:bottom w:val="nil"/>
          <w:right w:val="nil"/>
          <w:between w:val="nil"/>
        </w:pBdr>
        <w:spacing w:line="360" w:lineRule="auto"/>
        <w:ind w:left="720"/>
        <w:jc w:val="both"/>
        <w:rPr>
          <w:rFonts w:ascii="Arial" w:eastAsia="Arial" w:hAnsi="Arial" w:cs="Arial"/>
          <w:color w:val="000000"/>
          <w:sz w:val="18"/>
          <w:szCs w:val="18"/>
        </w:rPr>
      </w:pPr>
      <w:r>
        <w:rPr>
          <w:rFonts w:ascii="Arial" w:eastAsia="Arial" w:hAnsi="Arial" w:cs="Arial"/>
          <w:color w:val="000000"/>
          <w:sz w:val="18"/>
          <w:szCs w:val="18"/>
        </w:rPr>
        <w:t xml:space="preserve">Q.4,757,685.50 </w:t>
      </w:r>
    </w:p>
    <w:p w:rsidR="00F24105" w:rsidRDefault="00F24105">
      <w:pPr>
        <w:pBdr>
          <w:top w:val="nil"/>
          <w:left w:val="nil"/>
          <w:bottom w:val="nil"/>
          <w:right w:val="nil"/>
          <w:between w:val="nil"/>
        </w:pBdr>
        <w:spacing w:after="200"/>
        <w:jc w:val="center"/>
        <w:rPr>
          <w:b/>
          <w:color w:val="4472C4"/>
          <w:sz w:val="18"/>
          <w:szCs w:val="18"/>
        </w:rPr>
      </w:pPr>
    </w:p>
    <w:p w:rsidR="00F24105" w:rsidRDefault="00F24105">
      <w:pPr>
        <w:pBdr>
          <w:top w:val="nil"/>
          <w:left w:val="nil"/>
          <w:bottom w:val="nil"/>
          <w:right w:val="nil"/>
          <w:between w:val="nil"/>
        </w:pBdr>
        <w:spacing w:after="200"/>
        <w:jc w:val="right"/>
        <w:rPr>
          <w:b/>
          <w:color w:val="4472C4"/>
          <w:sz w:val="18"/>
          <w:szCs w:val="18"/>
        </w:rPr>
      </w:pPr>
    </w:p>
    <w:p w:rsidR="00F24105" w:rsidRDefault="00F24105">
      <w:pPr>
        <w:pBdr>
          <w:top w:val="nil"/>
          <w:left w:val="nil"/>
          <w:bottom w:val="nil"/>
          <w:right w:val="nil"/>
          <w:between w:val="nil"/>
        </w:pBdr>
        <w:spacing w:after="200"/>
        <w:jc w:val="right"/>
        <w:rPr>
          <w:b/>
          <w:color w:val="4472C4"/>
          <w:sz w:val="18"/>
          <w:szCs w:val="18"/>
        </w:rPr>
      </w:pPr>
    </w:p>
    <w:p w:rsidR="00F24105" w:rsidRDefault="00F24105">
      <w:pPr>
        <w:pBdr>
          <w:top w:val="nil"/>
          <w:left w:val="nil"/>
          <w:bottom w:val="nil"/>
          <w:right w:val="nil"/>
          <w:between w:val="nil"/>
        </w:pBdr>
        <w:spacing w:after="200"/>
        <w:jc w:val="right"/>
        <w:rPr>
          <w:b/>
          <w:color w:val="4472C4"/>
          <w:sz w:val="18"/>
          <w:szCs w:val="18"/>
        </w:rPr>
      </w:pPr>
    </w:p>
    <w:p w:rsidR="00F24105" w:rsidRDefault="00197571">
      <w:pPr>
        <w:pBdr>
          <w:top w:val="nil"/>
          <w:left w:val="nil"/>
          <w:bottom w:val="nil"/>
          <w:right w:val="nil"/>
          <w:between w:val="nil"/>
        </w:pBdr>
        <w:spacing w:after="200"/>
        <w:jc w:val="right"/>
        <w:rPr>
          <w:rFonts w:ascii="Arial" w:eastAsia="Arial" w:hAnsi="Arial" w:cs="Arial"/>
          <w:b/>
          <w:color w:val="FF0000"/>
          <w:sz w:val="18"/>
          <w:szCs w:val="18"/>
        </w:rPr>
      </w:pPr>
      <w:r>
        <w:rPr>
          <w:b/>
          <w:color w:val="4472C4"/>
          <w:sz w:val="18"/>
          <w:szCs w:val="18"/>
        </w:rPr>
        <w:t>Ilustración 2: Ejecución del grupo de gasto de servicios Personales.</w:t>
      </w:r>
    </w:p>
    <w:p w:rsidR="00F24105" w:rsidRDefault="00F24105">
      <w:pPr>
        <w:pBdr>
          <w:top w:val="nil"/>
          <w:left w:val="nil"/>
          <w:bottom w:val="nil"/>
          <w:right w:val="nil"/>
          <w:between w:val="nil"/>
        </w:pBdr>
        <w:spacing w:line="360" w:lineRule="auto"/>
        <w:jc w:val="both"/>
        <w:rPr>
          <w:rFonts w:ascii="Arial" w:eastAsia="Arial" w:hAnsi="Arial" w:cs="Arial"/>
          <w:color w:val="FF0000"/>
          <w:sz w:val="18"/>
          <w:szCs w:val="18"/>
        </w:rPr>
      </w:pPr>
    </w:p>
    <w:p w:rsidR="00F24105" w:rsidRPr="005D1073" w:rsidRDefault="00197571" w:rsidP="005D1073">
      <w:pPr>
        <w:pBdr>
          <w:top w:val="nil"/>
          <w:left w:val="nil"/>
          <w:bottom w:val="nil"/>
          <w:right w:val="nil"/>
          <w:between w:val="nil"/>
        </w:pBdr>
        <w:spacing w:line="360" w:lineRule="auto"/>
        <w:jc w:val="both"/>
        <w:rPr>
          <w:rFonts w:ascii="Arial" w:eastAsia="Arial" w:hAnsi="Arial" w:cs="Arial"/>
          <w:color w:val="464E56"/>
          <w:sz w:val="18"/>
          <w:szCs w:val="18"/>
          <w:highlight w:val="white"/>
        </w:rPr>
      </w:pPr>
      <w:r>
        <w:rPr>
          <w:rFonts w:ascii="Arial" w:eastAsia="Arial" w:hAnsi="Arial" w:cs="Arial"/>
          <w:color w:val="000000"/>
          <w:sz w:val="18"/>
          <w:szCs w:val="18"/>
        </w:rPr>
        <w:t xml:space="preserve">Es importante la erogación en servicios personales para el adecuado uso y ejecución de las diferentes actividades que la Comisión Presidencial realiza, tomando en cuenta que  desarrolla mecanismos efectivos en la prevención de la discriminación y el racismo contra los Pueblos Indígenas en Guatemala, haciendo de esta manera indispensable y necesaria la contratación de servicios personales  para el funcionamiento, ejecución, capacitación, asesoría, acompañamiento en los casos que de alguna manera vulneran el derecho de las víctimas y el seguimiento a los mismos, así como la socialización que existe entre la -CODISRA- con las diferentes instituciones que tienen relación directa o indirecta en materia de discriminación y racismo contra los pueblos indígenas en Guatemala.  </w:t>
      </w:r>
      <w:r>
        <w:rPr>
          <w:rFonts w:ascii="Arial" w:eastAsia="Arial" w:hAnsi="Arial" w:cs="Arial"/>
          <w:color w:val="464E56"/>
          <w:sz w:val="18"/>
          <w:szCs w:val="18"/>
          <w:highlight w:val="white"/>
        </w:rPr>
        <w:t xml:space="preserve"> </w:t>
      </w:r>
    </w:p>
    <w:p w:rsidR="00F24105" w:rsidRDefault="00197571">
      <w:p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También se presenta el presupuesto vigente, ejecutado y saldo por ejecutar de la inversión. </w:t>
      </w:r>
    </w:p>
    <w:p w:rsidR="00F24105" w:rsidRDefault="00F24105">
      <w:pPr>
        <w:pBdr>
          <w:top w:val="nil"/>
          <w:left w:val="nil"/>
          <w:bottom w:val="nil"/>
          <w:right w:val="nil"/>
          <w:between w:val="nil"/>
        </w:pBdr>
        <w:spacing w:line="360" w:lineRule="auto"/>
        <w:jc w:val="both"/>
        <w:rPr>
          <w:rFonts w:ascii="Arial" w:eastAsia="Arial" w:hAnsi="Arial" w:cs="Arial"/>
          <w:sz w:val="18"/>
          <w:szCs w:val="18"/>
        </w:rPr>
      </w:pPr>
    </w:p>
    <w:p w:rsidR="00F24105" w:rsidRDefault="00197571">
      <w:pPr>
        <w:pBdr>
          <w:top w:val="nil"/>
          <w:left w:val="nil"/>
          <w:bottom w:val="nil"/>
          <w:right w:val="nil"/>
          <w:between w:val="nil"/>
        </w:pBdr>
        <w:spacing w:line="360" w:lineRule="auto"/>
        <w:jc w:val="both"/>
        <w:rPr>
          <w:rFonts w:ascii="Arial" w:eastAsia="Arial" w:hAnsi="Arial" w:cs="Arial"/>
          <w:color w:val="000000"/>
          <w:sz w:val="18"/>
          <w:szCs w:val="18"/>
        </w:rPr>
      </w:pPr>
      <w:r>
        <w:rPr>
          <w:noProof/>
        </w:rPr>
        <w:drawing>
          <wp:anchor distT="0" distB="0" distL="0" distR="0" simplePos="0" relativeHeight="251662336" behindDoc="0" locked="0" layoutInCell="1" hidden="0" allowOverlap="1">
            <wp:simplePos x="0" y="0"/>
            <wp:positionH relativeFrom="column">
              <wp:posOffset>2787015</wp:posOffset>
            </wp:positionH>
            <wp:positionV relativeFrom="paragraph">
              <wp:posOffset>34925</wp:posOffset>
            </wp:positionV>
            <wp:extent cx="3123565" cy="1876425"/>
            <wp:effectExtent l="0" t="0" r="0" b="0"/>
            <wp:wrapSquare wrapText="bothSides" distT="0" distB="0" distL="0" distR="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123565" cy="1876425"/>
                    </a:xfrm>
                    <a:prstGeom prst="rect">
                      <a:avLst/>
                    </a:prstGeom>
                    <a:ln/>
                  </pic:spPr>
                </pic:pic>
              </a:graphicData>
            </a:graphic>
          </wp:anchor>
        </w:drawing>
      </w:r>
    </w:p>
    <w:p w:rsidR="00F24105" w:rsidRDefault="00F24105">
      <w:pPr>
        <w:pBdr>
          <w:top w:val="nil"/>
          <w:left w:val="nil"/>
          <w:bottom w:val="nil"/>
          <w:right w:val="nil"/>
          <w:between w:val="nil"/>
        </w:pBdr>
        <w:spacing w:line="360" w:lineRule="auto"/>
        <w:jc w:val="both"/>
        <w:rPr>
          <w:rFonts w:ascii="Arial" w:eastAsia="Arial" w:hAnsi="Arial" w:cs="Arial"/>
          <w:color w:val="000000"/>
          <w:sz w:val="18"/>
          <w:szCs w:val="18"/>
        </w:rPr>
      </w:pPr>
    </w:p>
    <w:p w:rsidR="00F24105" w:rsidRDefault="00F24105">
      <w:pPr>
        <w:pBdr>
          <w:top w:val="nil"/>
          <w:left w:val="nil"/>
          <w:bottom w:val="nil"/>
          <w:right w:val="nil"/>
          <w:between w:val="nil"/>
        </w:pBdr>
        <w:spacing w:line="360" w:lineRule="auto"/>
        <w:ind w:firstLine="720"/>
        <w:jc w:val="both"/>
        <w:rPr>
          <w:rFonts w:ascii="Arial" w:eastAsia="Arial" w:hAnsi="Arial" w:cs="Arial"/>
          <w:color w:val="FF0000"/>
          <w:sz w:val="18"/>
          <w:szCs w:val="18"/>
        </w:rPr>
      </w:pPr>
    </w:p>
    <w:p w:rsidR="00F24105" w:rsidRDefault="00197571">
      <w:pPr>
        <w:numPr>
          <w:ilvl w:val="0"/>
          <w:numId w:val="8"/>
        </w:num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Presupuesto </w:t>
      </w:r>
      <w:r>
        <w:rPr>
          <w:rFonts w:ascii="Arial" w:eastAsia="Arial" w:hAnsi="Arial" w:cs="Arial"/>
          <w:b/>
          <w:color w:val="000000"/>
          <w:sz w:val="18"/>
          <w:szCs w:val="18"/>
        </w:rPr>
        <w:t>Vigente</w:t>
      </w:r>
      <w:r>
        <w:rPr>
          <w:rFonts w:ascii="Arial" w:eastAsia="Arial" w:hAnsi="Arial" w:cs="Arial"/>
          <w:color w:val="000000"/>
          <w:sz w:val="18"/>
          <w:szCs w:val="18"/>
        </w:rPr>
        <w:t xml:space="preserve"> Q.185,423.00 </w:t>
      </w:r>
    </w:p>
    <w:p w:rsidR="00F24105" w:rsidRDefault="00197571">
      <w:pPr>
        <w:numPr>
          <w:ilvl w:val="0"/>
          <w:numId w:val="8"/>
        </w:num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Presupuesto </w:t>
      </w:r>
      <w:r>
        <w:rPr>
          <w:rFonts w:ascii="Arial" w:eastAsia="Arial" w:hAnsi="Arial" w:cs="Arial"/>
          <w:b/>
          <w:color w:val="000000"/>
          <w:sz w:val="18"/>
          <w:szCs w:val="18"/>
        </w:rPr>
        <w:t>Ejecutado</w:t>
      </w:r>
      <w:r>
        <w:rPr>
          <w:rFonts w:ascii="Arial" w:eastAsia="Arial" w:hAnsi="Arial" w:cs="Arial"/>
          <w:color w:val="000000"/>
          <w:sz w:val="18"/>
          <w:szCs w:val="18"/>
        </w:rPr>
        <w:t xml:space="preserve"> Q.0.00</w:t>
      </w:r>
    </w:p>
    <w:p w:rsidR="00F24105" w:rsidRDefault="00197571">
      <w:pPr>
        <w:numPr>
          <w:ilvl w:val="0"/>
          <w:numId w:val="8"/>
        </w:num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b/>
          <w:color w:val="000000"/>
          <w:sz w:val="18"/>
          <w:szCs w:val="18"/>
        </w:rPr>
        <w:t>Saldo</w:t>
      </w:r>
      <w:r>
        <w:rPr>
          <w:rFonts w:ascii="Arial" w:eastAsia="Arial" w:hAnsi="Arial" w:cs="Arial"/>
          <w:color w:val="000000"/>
          <w:sz w:val="18"/>
          <w:szCs w:val="18"/>
        </w:rPr>
        <w:t xml:space="preserve"> por Ejecutar Q. 185,423.00 </w:t>
      </w:r>
    </w:p>
    <w:p w:rsidR="00F24105" w:rsidRDefault="00F24105">
      <w:pPr>
        <w:pBdr>
          <w:top w:val="nil"/>
          <w:left w:val="nil"/>
          <w:bottom w:val="nil"/>
          <w:right w:val="nil"/>
          <w:between w:val="nil"/>
        </w:pBdr>
        <w:spacing w:line="360" w:lineRule="auto"/>
        <w:ind w:firstLine="720"/>
        <w:jc w:val="both"/>
        <w:rPr>
          <w:rFonts w:ascii="Arial" w:eastAsia="Arial" w:hAnsi="Arial" w:cs="Arial"/>
          <w:color w:val="000000"/>
          <w:sz w:val="18"/>
          <w:szCs w:val="18"/>
        </w:rPr>
      </w:pPr>
    </w:p>
    <w:p w:rsidR="00F24105" w:rsidRDefault="00F24105">
      <w:pPr>
        <w:pBdr>
          <w:top w:val="nil"/>
          <w:left w:val="nil"/>
          <w:bottom w:val="nil"/>
          <w:right w:val="nil"/>
          <w:between w:val="nil"/>
        </w:pBdr>
        <w:spacing w:line="360" w:lineRule="auto"/>
        <w:ind w:firstLine="720"/>
        <w:jc w:val="both"/>
        <w:rPr>
          <w:rFonts w:ascii="Arial" w:eastAsia="Arial" w:hAnsi="Arial" w:cs="Arial"/>
          <w:color w:val="000000"/>
          <w:sz w:val="18"/>
          <w:szCs w:val="18"/>
        </w:rPr>
      </w:pPr>
    </w:p>
    <w:p w:rsidR="00F24105" w:rsidRDefault="00F24105">
      <w:pPr>
        <w:pBdr>
          <w:top w:val="nil"/>
          <w:left w:val="nil"/>
          <w:bottom w:val="nil"/>
          <w:right w:val="nil"/>
          <w:between w:val="nil"/>
        </w:pBdr>
        <w:spacing w:line="360" w:lineRule="auto"/>
        <w:ind w:firstLine="720"/>
        <w:jc w:val="both"/>
        <w:rPr>
          <w:rFonts w:ascii="Arial" w:eastAsia="Arial" w:hAnsi="Arial" w:cs="Arial"/>
          <w:color w:val="000000"/>
          <w:sz w:val="18"/>
          <w:szCs w:val="18"/>
        </w:rPr>
      </w:pPr>
    </w:p>
    <w:p w:rsidR="00F24105" w:rsidRDefault="00197571">
      <w:pPr>
        <w:pBdr>
          <w:top w:val="nil"/>
          <w:left w:val="nil"/>
          <w:bottom w:val="nil"/>
          <w:right w:val="nil"/>
          <w:between w:val="nil"/>
        </w:pBdr>
        <w:spacing w:line="360" w:lineRule="auto"/>
        <w:ind w:firstLine="720"/>
        <w:jc w:val="both"/>
        <w:rPr>
          <w:rFonts w:ascii="Arial" w:eastAsia="Arial" w:hAnsi="Arial" w:cs="Arial"/>
          <w:color w:val="FF0000"/>
          <w:sz w:val="18"/>
          <w:szCs w:val="18"/>
        </w:rPr>
      </w:pPr>
      <w:r>
        <w:rPr>
          <w:noProof/>
        </w:rPr>
        <mc:AlternateContent>
          <mc:Choice Requires="wpg">
            <w:drawing>
              <wp:anchor distT="0" distB="0" distL="114300" distR="114300" simplePos="0" relativeHeight="251663360" behindDoc="0" locked="0" layoutInCell="1" hidden="0" allowOverlap="1">
                <wp:simplePos x="0" y="0"/>
                <wp:positionH relativeFrom="column">
                  <wp:posOffset>2895600</wp:posOffset>
                </wp:positionH>
                <wp:positionV relativeFrom="paragraph">
                  <wp:posOffset>114300</wp:posOffset>
                </wp:positionV>
                <wp:extent cx="3133090" cy="455722"/>
                <wp:effectExtent l="0" t="0" r="0" b="0"/>
                <wp:wrapNone/>
                <wp:docPr id="28" name="Forma libre 28"/>
                <wp:cNvGraphicFramePr/>
                <a:graphic xmlns:a="http://schemas.openxmlformats.org/drawingml/2006/main">
                  <a:graphicData uri="http://schemas.microsoft.com/office/word/2010/wordprocessingShape">
                    <wps:wsp>
                      <wps:cNvSpPr/>
                      <wps:spPr>
                        <a:xfrm>
                          <a:off x="3784218" y="3577118"/>
                          <a:ext cx="3123565" cy="405765"/>
                        </a:xfrm>
                        <a:custGeom>
                          <a:avLst/>
                          <a:gdLst/>
                          <a:ahLst/>
                          <a:cxnLst/>
                          <a:rect l="l" t="t" r="r" b="b"/>
                          <a:pathLst>
                            <a:path w="3123565" h="405765" extrusionOk="0">
                              <a:moveTo>
                                <a:pt x="0" y="0"/>
                              </a:moveTo>
                              <a:lnTo>
                                <a:pt x="0" y="405765"/>
                              </a:lnTo>
                              <a:lnTo>
                                <a:pt x="3123565" y="405765"/>
                              </a:lnTo>
                              <a:lnTo>
                                <a:pt x="3123565" y="0"/>
                              </a:lnTo>
                              <a:close/>
                            </a:path>
                          </a:pathLst>
                        </a:custGeom>
                        <a:solidFill>
                          <a:srgbClr val="FFFFFF"/>
                        </a:solidFill>
                        <a:ln>
                          <a:noFill/>
                        </a:ln>
                      </wps:spPr>
                      <wps:txbx>
                        <w:txbxContent>
                          <w:p w:rsidR="00F24105" w:rsidRDefault="00197571">
                            <w:pPr>
                              <w:spacing w:after="200"/>
                              <w:textDirection w:val="btLr"/>
                            </w:pPr>
                            <w:r>
                              <w:rPr>
                                <w:rFonts w:ascii="Arial" w:eastAsia="Arial" w:hAnsi="Arial" w:cs="Arial"/>
                                <w:b/>
                                <w:color w:val="4472C4"/>
                                <w:sz w:val="18"/>
                              </w:rPr>
                              <w:t>Ilustración 3 : Presupuesto vigente, ejecutado y saldo por ejecutar de la inversión.</w:t>
                            </w:r>
                          </w:p>
                        </w:txbxContent>
                      </wps:txbx>
                      <wps:bodyPr spcFirstLastPara="1" wrap="square" lIns="88900" tIns="38100" rIns="88900" bIns="381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2895600</wp:posOffset>
                </wp:positionH>
                <wp:positionV relativeFrom="paragraph">
                  <wp:posOffset>114300</wp:posOffset>
                </wp:positionV>
                <wp:extent cx="3133090" cy="455722"/>
                <wp:effectExtent b="0" l="0" r="0" t="0"/>
                <wp:wrapNone/>
                <wp:docPr id="28"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3133090" cy="455722"/>
                        </a:xfrm>
                        <a:prstGeom prst="rect"/>
                        <a:ln/>
                      </pic:spPr>
                    </pic:pic>
                  </a:graphicData>
                </a:graphic>
              </wp:anchor>
            </w:drawing>
          </mc:Fallback>
        </mc:AlternateContent>
      </w:r>
    </w:p>
    <w:p w:rsidR="00F24105" w:rsidRDefault="00F24105">
      <w:pPr>
        <w:pBdr>
          <w:top w:val="nil"/>
          <w:left w:val="nil"/>
          <w:bottom w:val="nil"/>
          <w:right w:val="nil"/>
          <w:between w:val="nil"/>
        </w:pBdr>
        <w:spacing w:line="360" w:lineRule="auto"/>
        <w:ind w:firstLine="720"/>
        <w:jc w:val="both"/>
        <w:rPr>
          <w:rFonts w:ascii="Arial" w:eastAsia="Arial" w:hAnsi="Arial" w:cs="Arial"/>
          <w:color w:val="FF0000"/>
          <w:sz w:val="18"/>
          <w:szCs w:val="18"/>
        </w:rPr>
      </w:pPr>
    </w:p>
    <w:p w:rsidR="00F24105" w:rsidRDefault="00F24105">
      <w:pPr>
        <w:pBdr>
          <w:top w:val="nil"/>
          <w:left w:val="nil"/>
          <w:bottom w:val="nil"/>
          <w:right w:val="nil"/>
          <w:between w:val="nil"/>
        </w:pBdr>
        <w:spacing w:line="360" w:lineRule="auto"/>
        <w:jc w:val="both"/>
        <w:rPr>
          <w:rFonts w:ascii="Arial" w:eastAsia="Arial" w:hAnsi="Arial" w:cs="Arial"/>
          <w:color w:val="000000"/>
          <w:sz w:val="18"/>
          <w:szCs w:val="18"/>
        </w:rPr>
      </w:pPr>
    </w:p>
    <w:p w:rsidR="00F24105" w:rsidRDefault="00C6773B">
      <w:p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Los criterios utilizados para la anterior inversión son</w:t>
      </w:r>
      <w:r w:rsidR="00197571">
        <w:rPr>
          <w:rFonts w:ascii="Arial" w:eastAsia="Arial" w:hAnsi="Arial" w:cs="Arial"/>
          <w:color w:val="000000"/>
          <w:sz w:val="18"/>
          <w:szCs w:val="18"/>
        </w:rPr>
        <w:t xml:space="preserve"> para fortalecer a las diferentes unidades administrativas y operativas de CODISRA, se ha programado la adquisición de </w:t>
      </w:r>
      <w:r w:rsidR="00197571">
        <w:rPr>
          <w:rFonts w:ascii="Arial" w:eastAsia="Arial" w:hAnsi="Arial" w:cs="Arial"/>
          <w:sz w:val="18"/>
          <w:szCs w:val="18"/>
        </w:rPr>
        <w:t xml:space="preserve">Mobiliario y Equipo de Oficina, Equipo </w:t>
      </w:r>
      <w:r w:rsidR="00197571">
        <w:rPr>
          <w:rFonts w:ascii="Arial" w:eastAsia="Arial" w:hAnsi="Arial" w:cs="Arial"/>
          <w:sz w:val="18"/>
          <w:szCs w:val="18"/>
        </w:rPr>
        <w:lastRenderedPageBreak/>
        <w:t xml:space="preserve">Educacional, Cultural y Recreativo, Equipo para Comunicaciones, Equipo de </w:t>
      </w:r>
      <w:r w:rsidR="00197571">
        <w:rPr>
          <w:rFonts w:ascii="Arial" w:eastAsia="Arial" w:hAnsi="Arial" w:cs="Arial"/>
          <w:color w:val="000000"/>
          <w:sz w:val="18"/>
          <w:szCs w:val="18"/>
        </w:rPr>
        <w:t xml:space="preserve">cómputo y Otras Maquinarias y </w:t>
      </w:r>
      <w:r w:rsidR="005D1073">
        <w:rPr>
          <w:rFonts w:ascii="Arial" w:eastAsia="Arial" w:hAnsi="Arial" w:cs="Arial"/>
          <w:color w:val="000000"/>
          <w:sz w:val="18"/>
          <w:szCs w:val="18"/>
        </w:rPr>
        <w:t>Equipo, para</w:t>
      </w:r>
      <w:r w:rsidR="00197571">
        <w:rPr>
          <w:rFonts w:ascii="Arial" w:eastAsia="Arial" w:hAnsi="Arial" w:cs="Arial"/>
          <w:color w:val="000000"/>
          <w:sz w:val="18"/>
          <w:szCs w:val="18"/>
        </w:rPr>
        <w:t xml:space="preserve"> el segundo cuatrimestre por un monto aproximado de Q.185,423.00.</w:t>
      </w:r>
    </w:p>
    <w:p w:rsidR="00F24105" w:rsidRDefault="00F24105">
      <w:pPr>
        <w:pBdr>
          <w:top w:val="nil"/>
          <w:left w:val="nil"/>
          <w:bottom w:val="nil"/>
          <w:right w:val="nil"/>
          <w:between w:val="nil"/>
        </w:pBdr>
        <w:spacing w:line="360" w:lineRule="auto"/>
        <w:jc w:val="both"/>
        <w:rPr>
          <w:rFonts w:ascii="Arial" w:eastAsia="Arial" w:hAnsi="Arial" w:cs="Arial"/>
          <w:color w:val="000000"/>
          <w:sz w:val="18"/>
          <w:szCs w:val="18"/>
        </w:rPr>
      </w:pPr>
    </w:p>
    <w:p w:rsidR="00F24105" w:rsidRDefault="00197571">
      <w:p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La siguiente gráfica muestra el presupuesto vigente, ejecutado y saldo por ejecutar, por finalidad. </w:t>
      </w:r>
    </w:p>
    <w:p w:rsidR="00F24105" w:rsidRDefault="00197571">
      <w:pPr>
        <w:pBdr>
          <w:top w:val="nil"/>
          <w:left w:val="nil"/>
          <w:bottom w:val="nil"/>
          <w:right w:val="nil"/>
          <w:between w:val="nil"/>
        </w:pBdr>
        <w:spacing w:line="360" w:lineRule="auto"/>
        <w:jc w:val="both"/>
        <w:rPr>
          <w:rFonts w:ascii="Arial" w:eastAsia="Arial" w:hAnsi="Arial" w:cs="Arial"/>
          <w:color w:val="000000"/>
          <w:sz w:val="18"/>
          <w:szCs w:val="18"/>
        </w:rPr>
      </w:pPr>
      <w:r>
        <w:rPr>
          <w:noProof/>
        </w:rPr>
        <w:drawing>
          <wp:anchor distT="0" distB="0" distL="0" distR="0" simplePos="0" relativeHeight="251664384" behindDoc="0" locked="0" layoutInCell="1" hidden="0" allowOverlap="1">
            <wp:simplePos x="0" y="0"/>
            <wp:positionH relativeFrom="column">
              <wp:posOffset>2230755</wp:posOffset>
            </wp:positionH>
            <wp:positionV relativeFrom="paragraph">
              <wp:posOffset>47458</wp:posOffset>
            </wp:positionV>
            <wp:extent cx="3383280" cy="2038350"/>
            <wp:effectExtent l="0" t="0" r="0" b="0"/>
            <wp:wrapSquare wrapText="bothSides" distT="0" distB="0" distL="0" distR="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383280" cy="2038350"/>
                    </a:xfrm>
                    <a:prstGeom prst="rect">
                      <a:avLst/>
                    </a:prstGeom>
                    <a:ln/>
                  </pic:spPr>
                </pic:pic>
              </a:graphicData>
            </a:graphic>
          </wp:anchor>
        </w:drawing>
      </w:r>
    </w:p>
    <w:p w:rsidR="00F24105" w:rsidRDefault="00F24105">
      <w:pPr>
        <w:pBdr>
          <w:top w:val="nil"/>
          <w:left w:val="nil"/>
          <w:bottom w:val="nil"/>
          <w:right w:val="nil"/>
          <w:between w:val="nil"/>
        </w:pBdr>
        <w:spacing w:line="360" w:lineRule="auto"/>
        <w:jc w:val="both"/>
        <w:rPr>
          <w:rFonts w:ascii="Arial" w:eastAsia="Arial" w:hAnsi="Arial" w:cs="Arial"/>
          <w:color w:val="FF0000"/>
          <w:sz w:val="18"/>
          <w:szCs w:val="18"/>
        </w:rPr>
      </w:pPr>
    </w:p>
    <w:p w:rsidR="00F24105" w:rsidRDefault="00197571">
      <w:pPr>
        <w:numPr>
          <w:ilvl w:val="0"/>
          <w:numId w:val="2"/>
        </w:num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Presupuesto Vigente </w:t>
      </w:r>
      <w:r>
        <w:rPr>
          <w:rFonts w:ascii="Arial" w:eastAsia="Arial" w:hAnsi="Arial" w:cs="Arial"/>
          <w:color w:val="000000"/>
          <w:sz w:val="18"/>
          <w:szCs w:val="18"/>
        </w:rPr>
        <w:tab/>
      </w:r>
      <w:r>
        <w:rPr>
          <w:rFonts w:ascii="Arial" w:eastAsia="Arial" w:hAnsi="Arial" w:cs="Arial"/>
          <w:color w:val="000000"/>
          <w:sz w:val="18"/>
          <w:szCs w:val="18"/>
        </w:rPr>
        <w:tab/>
      </w:r>
    </w:p>
    <w:p w:rsidR="00F24105" w:rsidRDefault="00197571">
      <w:pPr>
        <w:pBdr>
          <w:top w:val="nil"/>
          <w:left w:val="nil"/>
          <w:bottom w:val="nil"/>
          <w:right w:val="nil"/>
          <w:between w:val="nil"/>
        </w:pBdr>
        <w:spacing w:line="360" w:lineRule="auto"/>
        <w:ind w:left="720"/>
        <w:jc w:val="both"/>
        <w:rPr>
          <w:rFonts w:ascii="Arial" w:eastAsia="Arial" w:hAnsi="Arial" w:cs="Arial"/>
          <w:color w:val="000000"/>
          <w:sz w:val="18"/>
          <w:szCs w:val="18"/>
        </w:rPr>
      </w:pPr>
      <w:r>
        <w:rPr>
          <w:rFonts w:ascii="Arial" w:eastAsia="Arial" w:hAnsi="Arial" w:cs="Arial"/>
          <w:color w:val="000000"/>
          <w:sz w:val="18"/>
          <w:szCs w:val="18"/>
        </w:rPr>
        <w:t>Q.10,500,000.00</w:t>
      </w:r>
    </w:p>
    <w:p w:rsidR="00F24105" w:rsidRDefault="00197571">
      <w:pPr>
        <w:numPr>
          <w:ilvl w:val="0"/>
          <w:numId w:val="2"/>
        </w:num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Presupuesto Ejecutado </w:t>
      </w:r>
      <w:r>
        <w:rPr>
          <w:rFonts w:ascii="Arial" w:eastAsia="Arial" w:hAnsi="Arial" w:cs="Arial"/>
          <w:color w:val="000000"/>
          <w:sz w:val="18"/>
          <w:szCs w:val="18"/>
        </w:rPr>
        <w:tab/>
      </w:r>
    </w:p>
    <w:p w:rsidR="00F24105" w:rsidRDefault="00197571">
      <w:pPr>
        <w:pBdr>
          <w:top w:val="nil"/>
          <w:left w:val="nil"/>
          <w:bottom w:val="nil"/>
          <w:right w:val="nil"/>
          <w:between w:val="nil"/>
        </w:pBdr>
        <w:spacing w:line="360" w:lineRule="auto"/>
        <w:ind w:left="720"/>
        <w:jc w:val="both"/>
        <w:rPr>
          <w:rFonts w:ascii="Arial" w:eastAsia="Arial" w:hAnsi="Arial" w:cs="Arial"/>
          <w:color w:val="000000"/>
          <w:sz w:val="18"/>
          <w:szCs w:val="18"/>
        </w:rPr>
      </w:pPr>
      <w:r>
        <w:rPr>
          <w:rFonts w:ascii="Arial" w:eastAsia="Arial" w:hAnsi="Arial" w:cs="Arial"/>
          <w:color w:val="000000"/>
          <w:sz w:val="18"/>
          <w:szCs w:val="18"/>
        </w:rPr>
        <w:t>Q.1951682.70</w:t>
      </w:r>
    </w:p>
    <w:p w:rsidR="00F24105" w:rsidRDefault="00197571">
      <w:pPr>
        <w:numPr>
          <w:ilvl w:val="0"/>
          <w:numId w:val="2"/>
        </w:num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Saldo por Ejecutar</w:t>
      </w:r>
      <w:r>
        <w:rPr>
          <w:rFonts w:ascii="Arial" w:eastAsia="Arial" w:hAnsi="Arial" w:cs="Arial"/>
          <w:color w:val="000000"/>
          <w:sz w:val="18"/>
          <w:szCs w:val="18"/>
        </w:rPr>
        <w:tab/>
      </w:r>
      <w:r>
        <w:rPr>
          <w:rFonts w:ascii="Arial" w:eastAsia="Arial" w:hAnsi="Arial" w:cs="Arial"/>
          <w:color w:val="000000"/>
          <w:sz w:val="18"/>
          <w:szCs w:val="18"/>
        </w:rPr>
        <w:tab/>
        <w:t xml:space="preserve"> </w:t>
      </w:r>
    </w:p>
    <w:p w:rsidR="00F24105" w:rsidRDefault="00197571">
      <w:pPr>
        <w:pBdr>
          <w:top w:val="nil"/>
          <w:left w:val="nil"/>
          <w:bottom w:val="nil"/>
          <w:right w:val="nil"/>
          <w:between w:val="nil"/>
        </w:pBdr>
        <w:spacing w:line="360" w:lineRule="auto"/>
        <w:ind w:left="720"/>
        <w:jc w:val="both"/>
        <w:rPr>
          <w:rFonts w:ascii="Arial" w:eastAsia="Arial" w:hAnsi="Arial" w:cs="Arial"/>
          <w:color w:val="000000"/>
          <w:sz w:val="18"/>
          <w:szCs w:val="18"/>
        </w:rPr>
      </w:pPr>
      <w:r>
        <w:rPr>
          <w:rFonts w:ascii="Arial" w:eastAsia="Arial" w:hAnsi="Arial" w:cs="Arial"/>
          <w:color w:val="000000"/>
          <w:sz w:val="18"/>
          <w:szCs w:val="18"/>
        </w:rPr>
        <w:t>Q.8,548,317.30</w:t>
      </w:r>
    </w:p>
    <w:p w:rsidR="00F24105" w:rsidRDefault="00197571">
      <w:pPr>
        <w:pBdr>
          <w:top w:val="nil"/>
          <w:left w:val="nil"/>
          <w:bottom w:val="nil"/>
          <w:right w:val="nil"/>
          <w:between w:val="nil"/>
        </w:pBdr>
        <w:spacing w:line="360" w:lineRule="auto"/>
        <w:ind w:firstLine="720"/>
        <w:jc w:val="both"/>
        <w:rPr>
          <w:rFonts w:ascii="Arial" w:eastAsia="Arial" w:hAnsi="Arial" w:cs="Arial"/>
          <w:color w:val="FF0000"/>
          <w:sz w:val="18"/>
          <w:szCs w:val="18"/>
        </w:rPr>
      </w:pPr>
      <w:r>
        <w:rPr>
          <w:noProof/>
        </w:rPr>
        <mc:AlternateContent>
          <mc:Choice Requires="wpg">
            <w:drawing>
              <wp:anchor distT="0" distB="0" distL="114300" distR="114300" simplePos="0" relativeHeight="251665408" behindDoc="0" locked="0" layoutInCell="1" hidden="0" allowOverlap="1">
                <wp:simplePos x="0" y="0"/>
                <wp:positionH relativeFrom="column">
                  <wp:posOffset>2762250</wp:posOffset>
                </wp:positionH>
                <wp:positionV relativeFrom="paragraph">
                  <wp:posOffset>190500</wp:posOffset>
                </wp:positionV>
                <wp:extent cx="1847850" cy="190500"/>
                <wp:effectExtent l="0" t="0" r="0" b="0"/>
                <wp:wrapNone/>
                <wp:docPr id="30" name="Forma libre 30"/>
                <wp:cNvGraphicFramePr/>
                <a:graphic xmlns:a="http://schemas.openxmlformats.org/drawingml/2006/main">
                  <a:graphicData uri="http://schemas.microsoft.com/office/word/2010/wordprocessingShape">
                    <wps:wsp>
                      <wps:cNvSpPr/>
                      <wps:spPr>
                        <a:xfrm>
                          <a:off x="3654360" y="3779683"/>
                          <a:ext cx="3383280" cy="635"/>
                        </a:xfrm>
                        <a:custGeom>
                          <a:avLst/>
                          <a:gdLst/>
                          <a:ahLst/>
                          <a:cxnLst/>
                          <a:rect l="l" t="t" r="r" b="b"/>
                          <a:pathLst>
                            <a:path w="3383280" h="635" extrusionOk="0">
                              <a:moveTo>
                                <a:pt x="0" y="0"/>
                              </a:moveTo>
                              <a:lnTo>
                                <a:pt x="0" y="635"/>
                              </a:lnTo>
                              <a:lnTo>
                                <a:pt x="3383280" y="635"/>
                              </a:lnTo>
                              <a:lnTo>
                                <a:pt x="3383280" y="0"/>
                              </a:lnTo>
                              <a:close/>
                            </a:path>
                          </a:pathLst>
                        </a:custGeom>
                        <a:solidFill>
                          <a:srgbClr val="FFFFFF"/>
                        </a:solidFill>
                        <a:ln>
                          <a:noFill/>
                        </a:ln>
                      </wps:spPr>
                      <wps:txbx>
                        <w:txbxContent>
                          <w:p w:rsidR="00F24105" w:rsidRDefault="00197571">
                            <w:pPr>
                              <w:spacing w:after="200"/>
                              <w:textDirection w:val="btLr"/>
                            </w:pPr>
                            <w:r>
                              <w:rPr>
                                <w:rFonts w:ascii="Arial" w:eastAsia="Arial" w:hAnsi="Arial" w:cs="Arial"/>
                                <w:b/>
                                <w:color w:val="4472C4"/>
                                <w:sz w:val="16"/>
                              </w:rPr>
                              <w:t>Ilustración 4 : Ejecución Presupuestaria por Finalidad.</w:t>
                            </w:r>
                          </w:p>
                        </w:txbxContent>
                      </wps:txbx>
                      <wps:bodyPr spcFirstLastPara="1" wrap="square" lIns="88900" tIns="38100" rIns="88900" bIns="381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2762250</wp:posOffset>
                </wp:positionH>
                <wp:positionV relativeFrom="paragraph">
                  <wp:posOffset>190500</wp:posOffset>
                </wp:positionV>
                <wp:extent cx="1847850" cy="190500"/>
                <wp:effectExtent b="0" l="0" r="0" t="0"/>
                <wp:wrapNone/>
                <wp:docPr id="30"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1847850" cy="190500"/>
                        </a:xfrm>
                        <a:prstGeom prst="rect"/>
                        <a:ln/>
                      </pic:spPr>
                    </pic:pic>
                  </a:graphicData>
                </a:graphic>
              </wp:anchor>
            </w:drawing>
          </mc:Fallback>
        </mc:AlternateContent>
      </w:r>
    </w:p>
    <w:p w:rsidR="00F24105" w:rsidRDefault="00F24105">
      <w:pPr>
        <w:pBdr>
          <w:top w:val="nil"/>
          <w:left w:val="nil"/>
          <w:bottom w:val="nil"/>
          <w:right w:val="nil"/>
          <w:between w:val="nil"/>
        </w:pBdr>
        <w:spacing w:line="360" w:lineRule="auto"/>
        <w:ind w:firstLine="720"/>
        <w:jc w:val="both"/>
        <w:rPr>
          <w:rFonts w:ascii="Arial" w:eastAsia="Arial" w:hAnsi="Arial" w:cs="Arial"/>
          <w:color w:val="FF0000"/>
          <w:sz w:val="18"/>
          <w:szCs w:val="18"/>
        </w:rPr>
      </w:pPr>
    </w:p>
    <w:p w:rsidR="00F24105" w:rsidRDefault="00F24105">
      <w:pPr>
        <w:pBdr>
          <w:top w:val="nil"/>
          <w:left w:val="nil"/>
          <w:bottom w:val="nil"/>
          <w:right w:val="nil"/>
          <w:between w:val="nil"/>
        </w:pBdr>
        <w:spacing w:line="360" w:lineRule="auto"/>
        <w:jc w:val="both"/>
        <w:rPr>
          <w:rFonts w:ascii="Arial" w:eastAsia="Arial" w:hAnsi="Arial" w:cs="Arial"/>
          <w:color w:val="000000"/>
          <w:sz w:val="18"/>
          <w:szCs w:val="18"/>
        </w:rPr>
      </w:pPr>
    </w:p>
    <w:p w:rsidR="00F24105" w:rsidRDefault="00197571">
      <w:p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El 18.59%  de ejecución de este primer cuatrimestre alcanzados de las intervenciones realizadas en búsqueda de una convivencia armónica donde prevalezca el respeto y el cumplimiento efectivo de los Derechos Humanos de todas y todos los guatemaltecos.</w:t>
      </w:r>
      <w:r>
        <w:rPr>
          <w:noProof/>
        </w:rPr>
        <w:drawing>
          <wp:anchor distT="114300" distB="114300" distL="114300" distR="114300" simplePos="0" relativeHeight="251666432" behindDoc="0" locked="0" layoutInCell="1" hidden="0" allowOverlap="1">
            <wp:simplePos x="0" y="0"/>
            <wp:positionH relativeFrom="column">
              <wp:posOffset>2828925</wp:posOffset>
            </wp:positionH>
            <wp:positionV relativeFrom="paragraph">
              <wp:posOffset>696227</wp:posOffset>
            </wp:positionV>
            <wp:extent cx="3087313" cy="3152801"/>
            <wp:effectExtent l="0" t="0" r="0" b="0"/>
            <wp:wrapSquare wrapText="bothSides" distT="114300" distB="114300" distL="114300" distR="114300"/>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3087313" cy="3152801"/>
                    </a:xfrm>
                    <a:prstGeom prst="rect">
                      <a:avLst/>
                    </a:prstGeom>
                    <a:ln/>
                  </pic:spPr>
                </pic:pic>
              </a:graphicData>
            </a:graphic>
          </wp:anchor>
        </w:drawing>
      </w:r>
    </w:p>
    <w:p w:rsidR="00F24105" w:rsidRDefault="00F24105">
      <w:pPr>
        <w:pBdr>
          <w:top w:val="nil"/>
          <w:left w:val="nil"/>
          <w:bottom w:val="nil"/>
          <w:right w:val="nil"/>
          <w:between w:val="nil"/>
        </w:pBdr>
        <w:spacing w:line="360" w:lineRule="auto"/>
        <w:ind w:firstLine="720"/>
        <w:jc w:val="both"/>
        <w:rPr>
          <w:rFonts w:ascii="Arial" w:eastAsia="Arial" w:hAnsi="Arial" w:cs="Arial"/>
          <w:color w:val="000000"/>
          <w:sz w:val="18"/>
          <w:szCs w:val="18"/>
        </w:rPr>
      </w:pPr>
    </w:p>
    <w:p w:rsidR="00F24105" w:rsidRDefault="00197571">
      <w:p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A </w:t>
      </w:r>
      <w:r w:rsidR="005D1073">
        <w:rPr>
          <w:rFonts w:ascii="Arial" w:eastAsia="Arial" w:hAnsi="Arial" w:cs="Arial"/>
          <w:color w:val="000000"/>
          <w:sz w:val="18"/>
          <w:szCs w:val="18"/>
        </w:rPr>
        <w:t>continuación,</w:t>
      </w:r>
      <w:r>
        <w:rPr>
          <w:rFonts w:ascii="Arial" w:eastAsia="Arial" w:hAnsi="Arial" w:cs="Arial"/>
          <w:color w:val="000000"/>
          <w:sz w:val="18"/>
          <w:szCs w:val="18"/>
        </w:rPr>
        <w:t xml:space="preserve"> presenta el mapa de la distribución geográfica del presupuesto total, ejecutado en las seis regiones que tiene sedes CODISRA.</w:t>
      </w:r>
    </w:p>
    <w:p w:rsidR="00F24105" w:rsidRDefault="00F24105" w:rsidP="005D1073">
      <w:pPr>
        <w:pBdr>
          <w:top w:val="nil"/>
          <w:left w:val="nil"/>
          <w:bottom w:val="nil"/>
          <w:right w:val="nil"/>
          <w:between w:val="nil"/>
        </w:pBdr>
        <w:spacing w:line="360" w:lineRule="auto"/>
        <w:rPr>
          <w:rFonts w:ascii="Arial" w:eastAsia="Arial" w:hAnsi="Arial" w:cs="Arial"/>
          <w:color w:val="FF0000"/>
          <w:sz w:val="18"/>
          <w:szCs w:val="18"/>
        </w:rPr>
      </w:pPr>
    </w:p>
    <w:p w:rsidR="005D1073" w:rsidRDefault="005D1073" w:rsidP="005D1073">
      <w:pPr>
        <w:pBdr>
          <w:top w:val="nil"/>
          <w:left w:val="nil"/>
          <w:bottom w:val="nil"/>
          <w:right w:val="nil"/>
          <w:between w:val="nil"/>
        </w:pBdr>
        <w:spacing w:line="360" w:lineRule="auto"/>
        <w:rPr>
          <w:rFonts w:ascii="Arial" w:eastAsia="Arial" w:hAnsi="Arial" w:cs="Arial"/>
          <w:color w:val="FF0000"/>
          <w:sz w:val="18"/>
          <w:szCs w:val="18"/>
        </w:rPr>
      </w:pPr>
    </w:p>
    <w:p w:rsidR="00F24105" w:rsidRDefault="00197571">
      <w:p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La Comisión Presidencial contra la Discriminación y el Racismo contra los Pueblos Indígenas en Guatemala, para poder alcanzar sus objetivos y metas, tiene seis sedes: 1 sede en la Ciudad de Guatemala y 5 sedes departamentales correspondientes a Santa Rosa, Quetzaltenango, Huehuetenango, Alta Verapaz e Izabal, cada sede o centro de costo tiene asignado un presupuesto para poder desarrollar sus actividades programáticas.</w:t>
      </w:r>
      <w:r>
        <w:rPr>
          <w:rFonts w:ascii="Arial" w:eastAsia="Arial" w:hAnsi="Arial" w:cs="Arial"/>
          <w:color w:val="FF0000"/>
          <w:sz w:val="18"/>
          <w:szCs w:val="18"/>
        </w:rPr>
        <w:t xml:space="preserve"> </w:t>
      </w:r>
    </w:p>
    <w:p w:rsidR="00F24105" w:rsidRDefault="00F24105">
      <w:pPr>
        <w:pBdr>
          <w:top w:val="nil"/>
          <w:left w:val="nil"/>
          <w:bottom w:val="nil"/>
          <w:right w:val="nil"/>
          <w:between w:val="nil"/>
        </w:pBdr>
        <w:spacing w:line="360" w:lineRule="auto"/>
        <w:jc w:val="both"/>
        <w:rPr>
          <w:rFonts w:ascii="Arial" w:eastAsia="Arial" w:hAnsi="Arial" w:cs="Arial"/>
          <w:sz w:val="18"/>
          <w:szCs w:val="18"/>
        </w:rPr>
      </w:pPr>
    </w:p>
    <w:p w:rsidR="00F24105" w:rsidRDefault="00F24105">
      <w:pPr>
        <w:pBdr>
          <w:top w:val="nil"/>
          <w:left w:val="nil"/>
          <w:bottom w:val="nil"/>
          <w:right w:val="nil"/>
          <w:between w:val="nil"/>
        </w:pBdr>
        <w:spacing w:line="360" w:lineRule="auto"/>
        <w:jc w:val="both"/>
        <w:rPr>
          <w:rFonts w:ascii="Arial" w:eastAsia="Arial" w:hAnsi="Arial" w:cs="Arial"/>
          <w:sz w:val="18"/>
          <w:szCs w:val="18"/>
        </w:rPr>
      </w:pPr>
    </w:p>
    <w:p w:rsidR="005D1073" w:rsidRDefault="005D1073">
      <w:pPr>
        <w:pBdr>
          <w:top w:val="nil"/>
          <w:left w:val="nil"/>
          <w:bottom w:val="nil"/>
          <w:right w:val="nil"/>
          <w:between w:val="nil"/>
        </w:pBdr>
        <w:spacing w:line="360" w:lineRule="auto"/>
        <w:jc w:val="both"/>
        <w:rPr>
          <w:rFonts w:ascii="Arial" w:eastAsia="Arial" w:hAnsi="Arial" w:cs="Arial"/>
          <w:sz w:val="18"/>
          <w:szCs w:val="18"/>
        </w:rPr>
      </w:pPr>
    </w:p>
    <w:p w:rsidR="005D1073" w:rsidRDefault="005D1073">
      <w:pPr>
        <w:pBdr>
          <w:top w:val="nil"/>
          <w:left w:val="nil"/>
          <w:bottom w:val="nil"/>
          <w:right w:val="nil"/>
          <w:between w:val="nil"/>
        </w:pBdr>
        <w:spacing w:line="360" w:lineRule="auto"/>
        <w:jc w:val="both"/>
        <w:rPr>
          <w:rFonts w:ascii="Arial" w:eastAsia="Arial" w:hAnsi="Arial" w:cs="Arial"/>
          <w:sz w:val="18"/>
          <w:szCs w:val="18"/>
        </w:rPr>
      </w:pPr>
    </w:p>
    <w:p w:rsidR="005D1073" w:rsidRDefault="005D1073">
      <w:pPr>
        <w:pBdr>
          <w:top w:val="nil"/>
          <w:left w:val="nil"/>
          <w:bottom w:val="nil"/>
          <w:right w:val="nil"/>
          <w:between w:val="nil"/>
        </w:pBdr>
        <w:spacing w:line="360" w:lineRule="auto"/>
        <w:jc w:val="both"/>
        <w:rPr>
          <w:rFonts w:ascii="Arial" w:eastAsia="Arial" w:hAnsi="Arial" w:cs="Arial"/>
          <w:sz w:val="18"/>
          <w:szCs w:val="18"/>
        </w:rPr>
      </w:pPr>
    </w:p>
    <w:p w:rsidR="005D1073" w:rsidRDefault="005D1073">
      <w:pPr>
        <w:pBdr>
          <w:top w:val="nil"/>
          <w:left w:val="nil"/>
          <w:bottom w:val="nil"/>
          <w:right w:val="nil"/>
          <w:between w:val="nil"/>
        </w:pBdr>
        <w:spacing w:line="360" w:lineRule="auto"/>
        <w:jc w:val="both"/>
        <w:rPr>
          <w:rFonts w:ascii="Arial" w:eastAsia="Arial" w:hAnsi="Arial" w:cs="Arial"/>
          <w:sz w:val="18"/>
          <w:szCs w:val="18"/>
        </w:rPr>
      </w:pPr>
    </w:p>
    <w:p w:rsidR="00F24105" w:rsidRDefault="00197571">
      <w:p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Cuadro demostrativo sobre la asignación y ejecución de presupuesto por región </w:t>
      </w:r>
    </w:p>
    <w:p w:rsidR="00F24105" w:rsidRDefault="00F24105">
      <w:pPr>
        <w:pBdr>
          <w:top w:val="nil"/>
          <w:left w:val="nil"/>
          <w:bottom w:val="nil"/>
          <w:right w:val="nil"/>
          <w:between w:val="nil"/>
        </w:pBdr>
        <w:spacing w:line="360" w:lineRule="auto"/>
        <w:ind w:firstLine="720"/>
        <w:jc w:val="both"/>
        <w:rPr>
          <w:rFonts w:ascii="Arial" w:eastAsia="Arial" w:hAnsi="Arial" w:cs="Arial"/>
          <w:color w:val="000000"/>
          <w:sz w:val="18"/>
          <w:szCs w:val="18"/>
        </w:rPr>
      </w:pPr>
    </w:p>
    <w:tbl>
      <w:tblPr>
        <w:tblStyle w:val="a0"/>
        <w:tblW w:w="903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5"/>
        <w:gridCol w:w="2362"/>
        <w:gridCol w:w="2126"/>
        <w:gridCol w:w="1985"/>
        <w:gridCol w:w="1843"/>
      </w:tblGrid>
      <w:tr w:rsidR="00F24105">
        <w:trPr>
          <w:trHeight w:val="830"/>
        </w:trPr>
        <w:tc>
          <w:tcPr>
            <w:tcW w:w="715" w:type="dxa"/>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No.</w:t>
            </w:r>
          </w:p>
        </w:tc>
        <w:tc>
          <w:tcPr>
            <w:tcW w:w="2362" w:type="dxa"/>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REGIÓN</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VIGENTE</w:t>
            </w:r>
          </w:p>
          <w:p w:rsidR="00F24105" w:rsidRDefault="00197571">
            <w:pPr>
              <w:widowControl w:val="0"/>
              <w:pBdr>
                <w:top w:val="nil"/>
                <w:left w:val="nil"/>
                <w:bottom w:val="nil"/>
                <w:right w:val="nil"/>
                <w:between w:val="nil"/>
              </w:pBd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(Q.)</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EJECUTADO</w:t>
            </w:r>
          </w:p>
          <w:p w:rsidR="00F24105" w:rsidRDefault="00197571">
            <w:pPr>
              <w:widowControl w:val="0"/>
              <w:pBdr>
                <w:top w:val="nil"/>
                <w:left w:val="nil"/>
                <w:bottom w:val="nil"/>
                <w:right w:val="nil"/>
                <w:between w:val="nil"/>
              </w:pBd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(Q.)</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SALDO POR EJECUTAR</w:t>
            </w:r>
          </w:p>
          <w:p w:rsidR="00F24105" w:rsidRDefault="00197571">
            <w:pPr>
              <w:widowControl w:val="0"/>
              <w:pBdr>
                <w:top w:val="nil"/>
                <w:left w:val="nil"/>
                <w:bottom w:val="nil"/>
                <w:right w:val="nil"/>
                <w:between w:val="nil"/>
              </w:pBd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(Q.)</w:t>
            </w:r>
          </w:p>
        </w:tc>
      </w:tr>
      <w:tr w:rsidR="00F24105">
        <w:trPr>
          <w:trHeight w:val="317"/>
        </w:trPr>
        <w:tc>
          <w:tcPr>
            <w:tcW w:w="715" w:type="dxa"/>
            <w:vMerge/>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F24105">
            <w:pPr>
              <w:widowControl w:val="0"/>
              <w:pBdr>
                <w:top w:val="nil"/>
                <w:left w:val="nil"/>
                <w:bottom w:val="nil"/>
                <w:right w:val="nil"/>
                <w:between w:val="nil"/>
              </w:pBdr>
              <w:spacing w:line="276" w:lineRule="auto"/>
              <w:rPr>
                <w:rFonts w:ascii="Arial" w:eastAsia="Arial" w:hAnsi="Arial" w:cs="Arial"/>
                <w:b/>
                <w:color w:val="000000"/>
                <w:sz w:val="18"/>
                <w:szCs w:val="18"/>
              </w:rPr>
            </w:pPr>
          </w:p>
        </w:tc>
        <w:tc>
          <w:tcPr>
            <w:tcW w:w="2362" w:type="dxa"/>
            <w:vMerge/>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F24105">
            <w:pPr>
              <w:widowControl w:val="0"/>
              <w:pBdr>
                <w:top w:val="nil"/>
                <w:left w:val="nil"/>
                <w:bottom w:val="nil"/>
                <w:right w:val="nil"/>
                <w:between w:val="nil"/>
              </w:pBdr>
              <w:spacing w:line="276" w:lineRule="auto"/>
              <w:rPr>
                <w:rFonts w:ascii="Arial" w:eastAsia="Arial" w:hAnsi="Arial" w:cs="Arial"/>
                <w:b/>
                <w:color w:val="000000"/>
                <w:sz w:val="18"/>
                <w:szCs w:val="18"/>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F24105">
            <w:pPr>
              <w:widowControl w:val="0"/>
              <w:pBdr>
                <w:top w:val="nil"/>
                <w:left w:val="nil"/>
                <w:bottom w:val="nil"/>
                <w:right w:val="nil"/>
                <w:between w:val="nil"/>
              </w:pBdr>
              <w:spacing w:line="276" w:lineRule="auto"/>
              <w:rPr>
                <w:rFonts w:ascii="Arial" w:eastAsia="Arial" w:hAnsi="Arial" w:cs="Arial"/>
                <w:b/>
                <w:color w:val="000000"/>
                <w:sz w:val="18"/>
                <w:szCs w:val="18"/>
              </w:rPr>
            </w:pPr>
          </w:p>
        </w:tc>
        <w:tc>
          <w:tcPr>
            <w:tcW w:w="1985" w:type="dxa"/>
            <w:vMerge/>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F24105">
            <w:pPr>
              <w:widowControl w:val="0"/>
              <w:pBdr>
                <w:top w:val="nil"/>
                <w:left w:val="nil"/>
                <w:bottom w:val="nil"/>
                <w:right w:val="nil"/>
                <w:between w:val="nil"/>
              </w:pBdr>
              <w:spacing w:line="276" w:lineRule="auto"/>
              <w:rPr>
                <w:rFonts w:ascii="Arial" w:eastAsia="Arial" w:hAnsi="Arial" w:cs="Arial"/>
                <w:b/>
                <w:color w:val="000000"/>
                <w:sz w:val="18"/>
                <w:szCs w:val="18"/>
              </w:rPr>
            </w:pPr>
          </w:p>
        </w:tc>
        <w:tc>
          <w:tcPr>
            <w:tcW w:w="1843" w:type="dxa"/>
            <w:vMerge/>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F24105">
            <w:pPr>
              <w:widowControl w:val="0"/>
              <w:pBdr>
                <w:top w:val="nil"/>
                <w:left w:val="nil"/>
                <w:bottom w:val="nil"/>
                <w:right w:val="nil"/>
                <w:between w:val="nil"/>
              </w:pBdr>
              <w:spacing w:line="276" w:lineRule="auto"/>
              <w:rPr>
                <w:rFonts w:ascii="Arial" w:eastAsia="Arial" w:hAnsi="Arial" w:cs="Arial"/>
                <w:b/>
                <w:color w:val="000000"/>
                <w:sz w:val="18"/>
                <w:szCs w:val="18"/>
              </w:rPr>
            </w:pPr>
          </w:p>
        </w:tc>
      </w:tr>
      <w:tr w:rsidR="00F24105">
        <w:trPr>
          <w:trHeight w:val="515"/>
        </w:trPr>
        <w:tc>
          <w:tcPr>
            <w:tcW w:w="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1</w:t>
            </w:r>
          </w:p>
        </w:tc>
        <w:tc>
          <w:tcPr>
            <w:tcW w:w="23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Región I Metropolitana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ind w:right="-60"/>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9,649,400.00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1,872,477.03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7,776,922.97</w:t>
            </w:r>
          </w:p>
        </w:tc>
      </w:tr>
      <w:tr w:rsidR="00F24105">
        <w:trPr>
          <w:trHeight w:val="515"/>
        </w:trPr>
        <w:tc>
          <w:tcPr>
            <w:tcW w:w="7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2</w:t>
            </w:r>
          </w:p>
        </w:tc>
        <w:tc>
          <w:tcPr>
            <w:tcW w:w="2362"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Región II Norte</w:t>
            </w:r>
          </w:p>
        </w:tc>
        <w:tc>
          <w:tcPr>
            <w:tcW w:w="212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210,900.00</w:t>
            </w:r>
          </w:p>
        </w:tc>
        <w:tc>
          <w:tcPr>
            <w:tcW w:w="198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17,800.00</w:t>
            </w:r>
          </w:p>
        </w:tc>
        <w:tc>
          <w:tcPr>
            <w:tcW w:w="184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193,100.00</w:t>
            </w:r>
          </w:p>
        </w:tc>
      </w:tr>
      <w:tr w:rsidR="00F24105">
        <w:trPr>
          <w:trHeight w:val="515"/>
        </w:trPr>
        <w:tc>
          <w:tcPr>
            <w:tcW w:w="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3</w:t>
            </w:r>
          </w:p>
        </w:tc>
        <w:tc>
          <w:tcPr>
            <w:tcW w:w="23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Región III Nororiente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131,650.00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8,918.40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122,731.60</w:t>
            </w:r>
          </w:p>
        </w:tc>
      </w:tr>
      <w:tr w:rsidR="00F24105">
        <w:trPr>
          <w:trHeight w:val="515"/>
        </w:trPr>
        <w:tc>
          <w:tcPr>
            <w:tcW w:w="7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4</w:t>
            </w:r>
          </w:p>
        </w:tc>
        <w:tc>
          <w:tcPr>
            <w:tcW w:w="2362"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Región IV Suroriente</w:t>
            </w:r>
          </w:p>
        </w:tc>
        <w:tc>
          <w:tcPr>
            <w:tcW w:w="212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148,400.00</w:t>
            </w:r>
          </w:p>
        </w:tc>
        <w:tc>
          <w:tcPr>
            <w:tcW w:w="198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15,800.00</w:t>
            </w:r>
          </w:p>
        </w:tc>
        <w:tc>
          <w:tcPr>
            <w:tcW w:w="184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132,600.00</w:t>
            </w:r>
          </w:p>
        </w:tc>
      </w:tr>
      <w:tr w:rsidR="00F24105">
        <w:trPr>
          <w:trHeight w:val="515"/>
        </w:trPr>
        <w:tc>
          <w:tcPr>
            <w:tcW w:w="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5</w:t>
            </w:r>
          </w:p>
        </w:tc>
        <w:tc>
          <w:tcPr>
            <w:tcW w:w="23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Región V Central</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 xml:space="preserve">-  </w:t>
            </w:r>
          </w:p>
        </w:tc>
      </w:tr>
      <w:tr w:rsidR="00F24105">
        <w:trPr>
          <w:trHeight w:val="515"/>
        </w:trPr>
        <w:tc>
          <w:tcPr>
            <w:tcW w:w="7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6</w:t>
            </w:r>
          </w:p>
        </w:tc>
        <w:tc>
          <w:tcPr>
            <w:tcW w:w="2362"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Región VI Suroccidente</w:t>
            </w:r>
          </w:p>
        </w:tc>
        <w:tc>
          <w:tcPr>
            <w:tcW w:w="212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145,100.00</w:t>
            </w:r>
          </w:p>
        </w:tc>
        <w:tc>
          <w:tcPr>
            <w:tcW w:w="198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16,127.51</w:t>
            </w:r>
          </w:p>
        </w:tc>
        <w:tc>
          <w:tcPr>
            <w:tcW w:w="184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128,972.49</w:t>
            </w:r>
          </w:p>
        </w:tc>
      </w:tr>
      <w:tr w:rsidR="00F24105">
        <w:trPr>
          <w:trHeight w:val="515"/>
        </w:trPr>
        <w:tc>
          <w:tcPr>
            <w:tcW w:w="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7</w:t>
            </w:r>
          </w:p>
        </w:tc>
        <w:tc>
          <w:tcPr>
            <w:tcW w:w="23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Región VII Noroccidente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214,550.00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20,559.76</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193,990.24</w:t>
            </w:r>
          </w:p>
        </w:tc>
      </w:tr>
      <w:tr w:rsidR="00F24105">
        <w:trPr>
          <w:trHeight w:val="515"/>
        </w:trPr>
        <w:tc>
          <w:tcPr>
            <w:tcW w:w="71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8</w:t>
            </w:r>
          </w:p>
        </w:tc>
        <w:tc>
          <w:tcPr>
            <w:tcW w:w="2362"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Región VIII Petén</w:t>
            </w:r>
          </w:p>
        </w:tc>
        <w:tc>
          <w:tcPr>
            <w:tcW w:w="2126"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F24105" w:rsidRDefault="00197571">
            <w:pPr>
              <w:keepNext/>
              <w:widowControl w:val="0"/>
              <w:pBdr>
                <w:top w:val="nil"/>
                <w:left w:val="nil"/>
                <w:bottom w:val="nil"/>
                <w:right w:val="nil"/>
                <w:between w:val="nil"/>
              </w:pBdr>
              <w:spacing w:line="276" w:lineRule="auto"/>
              <w:jc w:val="right"/>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tab/>
              <w:t xml:space="preserve">-  </w:t>
            </w:r>
          </w:p>
        </w:tc>
      </w:tr>
    </w:tbl>
    <w:p w:rsidR="00F24105" w:rsidRDefault="00197571">
      <w:pPr>
        <w:pBdr>
          <w:top w:val="nil"/>
          <w:left w:val="nil"/>
          <w:bottom w:val="nil"/>
          <w:right w:val="nil"/>
          <w:between w:val="nil"/>
        </w:pBdr>
        <w:spacing w:after="200"/>
        <w:rPr>
          <w:rFonts w:ascii="Arial" w:eastAsia="Arial" w:hAnsi="Arial" w:cs="Arial"/>
          <w:b/>
          <w:color w:val="4472C4"/>
          <w:sz w:val="18"/>
          <w:szCs w:val="18"/>
        </w:rPr>
      </w:pPr>
      <w:r>
        <w:rPr>
          <w:b/>
          <w:color w:val="4472C4"/>
          <w:sz w:val="18"/>
          <w:szCs w:val="18"/>
        </w:rPr>
        <w:t>Tabla 2: Distribución de la ejecución por región.</w:t>
      </w:r>
    </w:p>
    <w:p w:rsidR="00F24105" w:rsidRDefault="00197571">
      <w:pPr>
        <w:pStyle w:val="Ttulo1"/>
        <w:ind w:firstLine="0"/>
        <w:jc w:val="left"/>
        <w:rPr>
          <w:rFonts w:ascii="Montserrat ExtraBold" w:eastAsia="Montserrat ExtraBold" w:hAnsi="Montserrat ExtraBold" w:cs="Montserrat ExtraBold"/>
          <w:b w:val="0"/>
          <w:color w:val="003A5D"/>
          <w:sz w:val="32"/>
          <w:szCs w:val="32"/>
        </w:rPr>
      </w:pPr>
      <w:bookmarkStart w:id="2" w:name="_heading=h.1fob9te" w:colFirst="0" w:colLast="0"/>
      <w:bookmarkEnd w:id="2"/>
      <w:r>
        <w:rPr>
          <w:rFonts w:ascii="Montserrat ExtraBold" w:eastAsia="Montserrat ExtraBold" w:hAnsi="Montserrat ExtraBold" w:cs="Montserrat ExtraBold"/>
          <w:b w:val="0"/>
          <w:color w:val="003A5D"/>
          <w:sz w:val="32"/>
          <w:szCs w:val="32"/>
        </w:rPr>
        <w:t>Específico</w:t>
      </w:r>
    </w:p>
    <w:p w:rsidR="00F24105" w:rsidRDefault="00197571">
      <w:pPr>
        <w:widowControl w:val="0"/>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La Comisión Presidencial contra la Discriminación y el Racismo contra los Pueblos Indígenas en Guatemala -CODISRA- por su naturaleza, se caracteriza como una institución que asesora a las instituciones estatales y privadas en la formulación y gestión de Políticas Públicas e institucionales para erradicar la discriminación y el racismo en contra de los Pueblos Indígenas en Guatemala. </w:t>
      </w:r>
    </w:p>
    <w:p w:rsidR="00F24105" w:rsidRDefault="00F24105">
      <w:pPr>
        <w:widowControl w:val="0"/>
        <w:pBdr>
          <w:top w:val="nil"/>
          <w:left w:val="nil"/>
          <w:bottom w:val="nil"/>
          <w:right w:val="nil"/>
          <w:between w:val="nil"/>
        </w:pBdr>
        <w:spacing w:line="360" w:lineRule="auto"/>
        <w:jc w:val="both"/>
        <w:rPr>
          <w:rFonts w:ascii="Arial" w:eastAsia="Arial" w:hAnsi="Arial" w:cs="Arial"/>
          <w:color w:val="000000"/>
          <w:sz w:val="18"/>
          <w:szCs w:val="18"/>
        </w:rPr>
      </w:pPr>
    </w:p>
    <w:p w:rsidR="00F24105" w:rsidRDefault="00197571">
      <w:pPr>
        <w:widowControl w:val="0"/>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La CODISRA es la entidad rectora de la Política Pública para la Convivencia y la Eliminación del Racismo y la Discriminación Racial -PPCER-, instrumento técnico político transversal, que permea la institucionalidad pública del Estado de Guatemala, con la finalidad de promover la convivencia armónica y contribuir a la prevención y </w:t>
      </w:r>
      <w:r>
        <w:rPr>
          <w:rFonts w:ascii="Arial" w:eastAsia="Arial" w:hAnsi="Arial" w:cs="Arial"/>
          <w:color w:val="000000"/>
          <w:sz w:val="18"/>
          <w:szCs w:val="18"/>
        </w:rPr>
        <w:lastRenderedPageBreak/>
        <w:t>erradicación del racismo y la discriminación racial, aprobada mediante Acuerdo Gubernativo No. 143-2014, mandatando a la institucionalidad del Estado a implementar  las acciones estratégicas de esta Política, en el marco de su competencia.</w:t>
      </w:r>
    </w:p>
    <w:p w:rsidR="00F24105" w:rsidRDefault="00F24105">
      <w:pPr>
        <w:widowControl w:val="0"/>
        <w:pBdr>
          <w:top w:val="nil"/>
          <w:left w:val="nil"/>
          <w:bottom w:val="nil"/>
          <w:right w:val="nil"/>
          <w:between w:val="nil"/>
        </w:pBdr>
        <w:spacing w:line="360" w:lineRule="auto"/>
        <w:ind w:firstLine="720"/>
        <w:jc w:val="both"/>
        <w:rPr>
          <w:rFonts w:ascii="Arial" w:eastAsia="Arial" w:hAnsi="Arial" w:cs="Arial"/>
          <w:color w:val="000000"/>
          <w:sz w:val="18"/>
          <w:szCs w:val="18"/>
        </w:rPr>
      </w:pPr>
    </w:p>
    <w:p w:rsidR="00F24105" w:rsidRDefault="00197571">
      <w:pPr>
        <w:widowControl w:val="0"/>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En ese sentido y debido a la persistencia de esta problemática que afecta directamente a los Pueblos Mayas, Garífuna y Xinka, las intervenciones de la CODISRA contribuyen a la construcción de la convivencia armónica, donde exista un relacionamiento con igualdad y equidad de derechos, respeto y reconocimiento mutuo.  </w:t>
      </w:r>
    </w:p>
    <w:p w:rsidR="00F24105" w:rsidRDefault="00F24105">
      <w:pPr>
        <w:widowControl w:val="0"/>
        <w:pBdr>
          <w:top w:val="nil"/>
          <w:left w:val="nil"/>
          <w:bottom w:val="nil"/>
          <w:right w:val="nil"/>
          <w:between w:val="nil"/>
        </w:pBdr>
        <w:spacing w:line="360" w:lineRule="auto"/>
        <w:jc w:val="both"/>
        <w:rPr>
          <w:rFonts w:ascii="Arial" w:eastAsia="Arial" w:hAnsi="Arial" w:cs="Arial"/>
          <w:color w:val="000000"/>
          <w:sz w:val="18"/>
          <w:szCs w:val="18"/>
        </w:rPr>
      </w:pPr>
    </w:p>
    <w:p w:rsidR="00F24105" w:rsidRDefault="00197571">
      <w:pPr>
        <w:widowControl w:val="0"/>
        <w:pBdr>
          <w:top w:val="nil"/>
          <w:left w:val="nil"/>
          <w:bottom w:val="nil"/>
          <w:right w:val="nil"/>
          <w:between w:val="nil"/>
        </w:pBdr>
        <w:spacing w:line="360" w:lineRule="auto"/>
        <w:jc w:val="both"/>
        <w:rPr>
          <w:rFonts w:ascii="Arial" w:eastAsia="Arial" w:hAnsi="Arial" w:cs="Arial"/>
          <w:color w:val="000000"/>
          <w:sz w:val="18"/>
          <w:szCs w:val="18"/>
          <w:highlight w:val="white"/>
        </w:rPr>
      </w:pPr>
      <w:r>
        <w:rPr>
          <w:rFonts w:ascii="Arial" w:eastAsia="Arial" w:hAnsi="Arial" w:cs="Arial"/>
          <w:color w:val="000000"/>
          <w:sz w:val="18"/>
          <w:szCs w:val="18"/>
        </w:rPr>
        <w:t xml:space="preserve">Las acciones que realiza esta Comisión Presidencial se enmarcan en su mandato institucional y las funciones establecidas, con la finalidad de prevenir y eliminar el racismo y la discriminación racial que los pueblos Mayas, Garífuna y Xinka viven y enfrentan cotidianamente en el ámbito público y privado, desde los diferentes motivos establecidos en el artículo 202 bis del código penal, que indica:    </w:t>
      </w:r>
      <w:r>
        <w:rPr>
          <w:rFonts w:ascii="Arial" w:eastAsia="Arial" w:hAnsi="Arial" w:cs="Arial"/>
          <w:color w:val="000000"/>
          <w:sz w:val="18"/>
          <w:szCs w:val="18"/>
          <w:highlight w:val="white"/>
        </w:rPr>
        <w:t xml:space="preserve">“Se entenderá como discriminación, toda distinción; exclusión; restricción o  preferencia basada en motivos de: género, raza, etnia, idioma, edad, religión, situación económica, enfermedad, discapacidad, estado civil, o cualesquiera otro motivo, razón o circunstancia,  que impidiere o dificultare a una persona,  grupo de personas o asociaciones, el ejercicio de un derecho legalmente establecido incluyendo el derecho consuetudinario o costumbre, de conformidad con la Constitución Política de la República de Guatemala y los Tratados internacionales en materia de derechos humanos”. </w:t>
      </w:r>
    </w:p>
    <w:p w:rsidR="00F24105" w:rsidRDefault="00F24105">
      <w:pPr>
        <w:widowControl w:val="0"/>
        <w:pBdr>
          <w:top w:val="nil"/>
          <w:left w:val="nil"/>
          <w:bottom w:val="nil"/>
          <w:right w:val="nil"/>
          <w:between w:val="nil"/>
        </w:pBdr>
        <w:spacing w:line="360" w:lineRule="auto"/>
        <w:ind w:left="360"/>
        <w:jc w:val="both"/>
        <w:rPr>
          <w:rFonts w:ascii="Arial" w:eastAsia="Arial" w:hAnsi="Arial" w:cs="Arial"/>
          <w:color w:val="000000"/>
          <w:sz w:val="18"/>
          <w:szCs w:val="18"/>
          <w:highlight w:val="white"/>
        </w:rPr>
      </w:pPr>
    </w:p>
    <w:p w:rsidR="00F24105" w:rsidRDefault="00197571">
      <w:pPr>
        <w:widowControl w:val="0"/>
        <w:pBdr>
          <w:top w:val="nil"/>
          <w:left w:val="nil"/>
          <w:bottom w:val="nil"/>
          <w:right w:val="nil"/>
          <w:between w:val="nil"/>
        </w:pBdr>
        <w:spacing w:line="360" w:lineRule="auto"/>
        <w:jc w:val="both"/>
        <w:rPr>
          <w:rFonts w:ascii="Arial" w:eastAsia="Arial" w:hAnsi="Arial" w:cs="Arial"/>
          <w:color w:val="FF0000"/>
          <w:sz w:val="18"/>
          <w:szCs w:val="18"/>
        </w:rPr>
      </w:pPr>
      <w:r>
        <w:rPr>
          <w:rFonts w:ascii="Arial" w:eastAsia="Arial" w:hAnsi="Arial" w:cs="Arial"/>
          <w:color w:val="000000"/>
          <w:sz w:val="18"/>
          <w:szCs w:val="18"/>
        </w:rPr>
        <w:t>Otra de las estrategias  de asesoría y acompañamiento a las distintas instituciones del Estado, para desarrollar mecanismos efectivos en la prevención del racismo y la discriminación racial en la prestación de los servicios son los procesos de formación, que permiten desarrollar el análisis, debate y reflexión sobre el fenómeno del racismo y la discriminación racial, su incidencia en las instituciones públicas, su impacto y la relación con la condición y calidad de vida de las personas, así como, unificar criterios para afrontar positivamente su prevención y erradicación.</w:t>
      </w:r>
    </w:p>
    <w:p w:rsidR="00F24105" w:rsidRDefault="00F24105">
      <w:pPr>
        <w:pBdr>
          <w:top w:val="nil"/>
          <w:left w:val="nil"/>
          <w:bottom w:val="nil"/>
          <w:right w:val="nil"/>
          <w:between w:val="nil"/>
        </w:pBdr>
        <w:spacing w:line="360" w:lineRule="auto"/>
        <w:ind w:firstLine="720"/>
        <w:jc w:val="both"/>
        <w:rPr>
          <w:rFonts w:ascii="Arial" w:eastAsia="Arial" w:hAnsi="Arial" w:cs="Arial"/>
          <w:color w:val="000000"/>
          <w:sz w:val="18"/>
          <w:szCs w:val="18"/>
        </w:rPr>
      </w:pPr>
    </w:p>
    <w:p w:rsidR="00F24105" w:rsidRDefault="00197571">
      <w:p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Durante el primer cuatrimestre se realizaron en el sistema de Guatecompras 6 NOG para el funcionamiento de esta institución. </w:t>
      </w:r>
    </w:p>
    <w:p w:rsidR="00F24105" w:rsidRDefault="00F24105">
      <w:pPr>
        <w:pBdr>
          <w:top w:val="nil"/>
          <w:left w:val="nil"/>
          <w:bottom w:val="nil"/>
          <w:right w:val="nil"/>
          <w:between w:val="nil"/>
        </w:pBdr>
        <w:spacing w:line="360" w:lineRule="auto"/>
        <w:ind w:firstLine="720"/>
        <w:jc w:val="both"/>
        <w:rPr>
          <w:rFonts w:ascii="Arial" w:eastAsia="Arial" w:hAnsi="Arial" w:cs="Arial"/>
          <w:color w:val="000000"/>
          <w:sz w:val="18"/>
          <w:szCs w:val="18"/>
        </w:rPr>
      </w:pPr>
    </w:p>
    <w:p w:rsidR="00F24105" w:rsidRDefault="00197571">
      <w:p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Por la naturaleza del mandato institucional, no existe asocio presupuestario directo con ninguna Meta Estratégica de Desarrollo (MED</w:t>
      </w:r>
      <w:r w:rsidR="00C6773B">
        <w:rPr>
          <w:rFonts w:ascii="Arial" w:eastAsia="Arial" w:hAnsi="Arial" w:cs="Arial"/>
          <w:color w:val="000000"/>
          <w:sz w:val="18"/>
          <w:szCs w:val="18"/>
        </w:rPr>
        <w:t>), ni</w:t>
      </w:r>
      <w:r>
        <w:rPr>
          <w:rFonts w:ascii="Arial" w:eastAsia="Arial" w:hAnsi="Arial" w:cs="Arial"/>
          <w:color w:val="000000"/>
          <w:sz w:val="18"/>
          <w:szCs w:val="18"/>
        </w:rPr>
        <w:t xml:space="preserve"> otros programas interinstitucionales. Se tiene vinculación temática con el Plan Nacional de Desarrollo (PND) en Reducción de la Pobreza y Protección Social; y la MED para el 2030, potenciar y promover la inclusión social, económica y política de todos, independientemente de su edad, sexo, discapacidad, raza, etnia, origen, religión o situación económica u otra condición.</w:t>
      </w:r>
    </w:p>
    <w:p w:rsidR="00F24105" w:rsidRDefault="00197571">
      <w:pPr>
        <w:pBdr>
          <w:top w:val="nil"/>
          <w:left w:val="nil"/>
          <w:bottom w:val="nil"/>
          <w:right w:val="nil"/>
          <w:between w:val="nil"/>
        </w:pBdr>
        <w:spacing w:before="200" w:line="276" w:lineRule="auto"/>
        <w:ind w:right="49"/>
        <w:jc w:val="both"/>
        <w:rPr>
          <w:rFonts w:ascii="Arial" w:eastAsia="Arial" w:hAnsi="Arial" w:cs="Arial"/>
          <w:color w:val="000000"/>
          <w:sz w:val="18"/>
          <w:szCs w:val="18"/>
        </w:rPr>
      </w:pPr>
      <w:r>
        <w:rPr>
          <w:rFonts w:ascii="Arial" w:eastAsia="Arial" w:hAnsi="Arial" w:cs="Arial"/>
          <w:color w:val="000000"/>
          <w:sz w:val="18"/>
          <w:szCs w:val="18"/>
        </w:rPr>
        <w:t>Observando el mandato, indica que la CODISRA tiene a su cargo la formulación de políticas públicas, que tiendan a erradicar la discriminación racial, por lo que una de sus poblaciones objetivo definida, es la institucionalidad pública.</w:t>
      </w:r>
    </w:p>
    <w:p w:rsidR="00F24105" w:rsidRDefault="00F24105">
      <w:pPr>
        <w:pBdr>
          <w:top w:val="nil"/>
          <w:left w:val="nil"/>
          <w:bottom w:val="nil"/>
          <w:right w:val="nil"/>
          <w:between w:val="nil"/>
        </w:pBdr>
        <w:spacing w:line="276" w:lineRule="auto"/>
        <w:ind w:right="49" w:firstLine="720"/>
        <w:jc w:val="both"/>
        <w:rPr>
          <w:rFonts w:ascii="Arial" w:eastAsia="Arial" w:hAnsi="Arial" w:cs="Arial"/>
          <w:color w:val="000000"/>
          <w:sz w:val="18"/>
          <w:szCs w:val="18"/>
        </w:rPr>
      </w:pPr>
    </w:p>
    <w:p w:rsidR="00F24105" w:rsidRDefault="00197571">
      <w:pPr>
        <w:pBdr>
          <w:top w:val="nil"/>
          <w:left w:val="nil"/>
          <w:bottom w:val="nil"/>
          <w:right w:val="nil"/>
          <w:between w:val="nil"/>
        </w:pBdr>
        <w:spacing w:line="360" w:lineRule="auto"/>
        <w:ind w:right="49"/>
        <w:jc w:val="both"/>
      </w:pPr>
      <w:r>
        <w:rPr>
          <w:rFonts w:ascii="Arial" w:eastAsia="Arial" w:hAnsi="Arial" w:cs="Arial"/>
          <w:color w:val="000000"/>
          <w:sz w:val="18"/>
          <w:szCs w:val="18"/>
        </w:rPr>
        <w:t>Por otro lado, y debido a que la CODISRA constituye una acción afirmativa hacia los Pueblos Indígenas en Guatemala, todos sus planteamientos deben ir enfocados a erradicar la discriminación y el racismo en contra de los mismos, otra población objetivo de la CODISRA, son los Pueblos Indígenas en Guatemala.</w:t>
      </w:r>
    </w:p>
    <w:p w:rsidR="00F24105" w:rsidRDefault="00197571">
      <w:pPr>
        <w:widowControl w:val="0"/>
        <w:spacing w:before="240" w:after="240" w:line="360" w:lineRule="auto"/>
        <w:jc w:val="both"/>
        <w:rPr>
          <w:rFonts w:ascii="Arial" w:eastAsia="Arial" w:hAnsi="Arial" w:cs="Arial"/>
          <w:b/>
          <w:sz w:val="18"/>
          <w:szCs w:val="18"/>
        </w:rPr>
      </w:pPr>
      <w:r>
        <w:rPr>
          <w:rFonts w:ascii="Arial" w:eastAsia="Arial" w:hAnsi="Arial" w:cs="Arial"/>
          <w:sz w:val="18"/>
          <w:szCs w:val="18"/>
        </w:rPr>
        <w:lastRenderedPageBreak/>
        <w:t>Para el cumplimiento del programa “Acciones para la prevención y eliminación del racismo y la discriminación Racial”, en el primer cuatrimestre resaltan dos resultados</w:t>
      </w:r>
      <w:r>
        <w:rPr>
          <w:rFonts w:ascii="Arial" w:eastAsia="Arial" w:hAnsi="Arial" w:cs="Arial"/>
          <w:b/>
          <w:sz w:val="18"/>
          <w:szCs w:val="18"/>
        </w:rPr>
        <w:t>:</w:t>
      </w:r>
    </w:p>
    <w:p w:rsidR="00F24105" w:rsidRDefault="00197571">
      <w:pPr>
        <w:widowControl w:val="0"/>
        <w:numPr>
          <w:ilvl w:val="0"/>
          <w:numId w:val="5"/>
        </w:numPr>
        <w:spacing w:before="240" w:line="360" w:lineRule="auto"/>
        <w:jc w:val="both"/>
        <w:rPr>
          <w:rFonts w:ascii="Arial" w:eastAsia="Arial" w:hAnsi="Arial" w:cs="Arial"/>
          <w:sz w:val="18"/>
          <w:szCs w:val="18"/>
        </w:rPr>
      </w:pPr>
      <w:r>
        <w:rPr>
          <w:rFonts w:ascii="Arial" w:eastAsia="Arial" w:hAnsi="Arial" w:cs="Arial"/>
          <w:sz w:val="18"/>
          <w:szCs w:val="18"/>
        </w:rPr>
        <w:t xml:space="preserve">Fortalecimiento de conocimientos y sensibilización a servidores públicos del Organismo Ejecutivo, Municipalidades y personas de la sociedad civil en temas relacionados a Derechos de los Pueblos Indígenas, Racismo y Discriminación Racial, para la implementación de acciones tendientes a la prevención y eliminación del racismo y la discriminación racial en los ámbitos:  social, económico, político y cultural.  </w:t>
      </w:r>
    </w:p>
    <w:p w:rsidR="00F24105" w:rsidRDefault="00197571">
      <w:pPr>
        <w:widowControl w:val="0"/>
        <w:numPr>
          <w:ilvl w:val="0"/>
          <w:numId w:val="6"/>
        </w:numPr>
        <w:spacing w:line="360" w:lineRule="auto"/>
        <w:jc w:val="both"/>
        <w:rPr>
          <w:rFonts w:ascii="Arial" w:eastAsia="Arial" w:hAnsi="Arial" w:cs="Arial"/>
          <w:sz w:val="18"/>
          <w:szCs w:val="18"/>
        </w:rPr>
      </w:pPr>
      <w:r>
        <w:rPr>
          <w:rFonts w:ascii="Arial" w:eastAsia="Arial" w:hAnsi="Arial" w:cs="Arial"/>
          <w:sz w:val="18"/>
          <w:szCs w:val="18"/>
        </w:rPr>
        <w:t xml:space="preserve">Meta de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370 personas</w:t>
      </w:r>
    </w:p>
    <w:p w:rsidR="00F24105" w:rsidRDefault="00197571">
      <w:pPr>
        <w:widowControl w:val="0"/>
        <w:numPr>
          <w:ilvl w:val="0"/>
          <w:numId w:val="6"/>
        </w:numPr>
        <w:spacing w:line="360" w:lineRule="auto"/>
        <w:jc w:val="both"/>
        <w:rPr>
          <w:rFonts w:ascii="Arial" w:eastAsia="Arial" w:hAnsi="Arial" w:cs="Arial"/>
          <w:sz w:val="18"/>
          <w:szCs w:val="18"/>
        </w:rPr>
      </w:pPr>
      <w:r>
        <w:rPr>
          <w:rFonts w:ascii="Arial" w:eastAsia="Arial" w:hAnsi="Arial" w:cs="Arial"/>
          <w:sz w:val="18"/>
          <w:szCs w:val="18"/>
        </w:rPr>
        <w:t xml:space="preserve">Presupuesto vigente:   </w:t>
      </w:r>
      <w:r>
        <w:rPr>
          <w:rFonts w:ascii="Arial" w:eastAsia="Arial" w:hAnsi="Arial" w:cs="Arial"/>
          <w:sz w:val="18"/>
          <w:szCs w:val="18"/>
        </w:rPr>
        <w:tab/>
      </w:r>
      <w:r>
        <w:rPr>
          <w:rFonts w:ascii="Arial" w:eastAsia="Arial" w:hAnsi="Arial" w:cs="Arial"/>
          <w:sz w:val="18"/>
          <w:szCs w:val="18"/>
        </w:rPr>
        <w:tab/>
        <w:t>Q. 54,350</w:t>
      </w:r>
    </w:p>
    <w:p w:rsidR="00F24105" w:rsidRDefault="00197571">
      <w:pPr>
        <w:widowControl w:val="0"/>
        <w:numPr>
          <w:ilvl w:val="0"/>
          <w:numId w:val="6"/>
        </w:numPr>
        <w:spacing w:line="360" w:lineRule="auto"/>
        <w:jc w:val="both"/>
        <w:rPr>
          <w:rFonts w:ascii="Arial" w:eastAsia="Arial" w:hAnsi="Arial" w:cs="Arial"/>
          <w:sz w:val="18"/>
          <w:szCs w:val="18"/>
        </w:rPr>
      </w:pPr>
      <w:r>
        <w:rPr>
          <w:rFonts w:ascii="Arial" w:eastAsia="Arial" w:hAnsi="Arial" w:cs="Arial"/>
          <w:sz w:val="18"/>
          <w:szCs w:val="18"/>
        </w:rPr>
        <w:t xml:space="preserve">Presupuesto ejecutado           </w:t>
      </w:r>
      <w:r>
        <w:rPr>
          <w:rFonts w:ascii="Arial" w:eastAsia="Arial" w:hAnsi="Arial" w:cs="Arial"/>
          <w:sz w:val="18"/>
          <w:szCs w:val="18"/>
        </w:rPr>
        <w:tab/>
        <w:t>Q. 30,425.00</w:t>
      </w:r>
    </w:p>
    <w:p w:rsidR="00F24105" w:rsidRDefault="00197571">
      <w:pPr>
        <w:widowControl w:val="0"/>
        <w:numPr>
          <w:ilvl w:val="0"/>
          <w:numId w:val="6"/>
        </w:numPr>
        <w:spacing w:after="240"/>
        <w:jc w:val="both"/>
        <w:rPr>
          <w:rFonts w:ascii="Arial" w:eastAsia="Arial" w:hAnsi="Arial" w:cs="Arial"/>
          <w:sz w:val="18"/>
          <w:szCs w:val="18"/>
        </w:rPr>
      </w:pPr>
      <w:r>
        <w:rPr>
          <w:rFonts w:ascii="Arial" w:eastAsia="Arial" w:hAnsi="Arial" w:cs="Arial"/>
          <w:sz w:val="18"/>
          <w:szCs w:val="18"/>
        </w:rPr>
        <w:t>Fuente de Financiamiento</w:t>
      </w:r>
      <w:r>
        <w:rPr>
          <w:rFonts w:ascii="Arial" w:eastAsia="Arial" w:hAnsi="Arial" w:cs="Arial"/>
          <w:sz w:val="18"/>
          <w:szCs w:val="18"/>
        </w:rPr>
        <w:tab/>
      </w:r>
      <w:r>
        <w:rPr>
          <w:rFonts w:ascii="Arial" w:eastAsia="Arial" w:hAnsi="Arial" w:cs="Arial"/>
          <w:sz w:val="18"/>
          <w:szCs w:val="18"/>
        </w:rPr>
        <w:tab/>
        <w:t>11</w:t>
      </w:r>
    </w:p>
    <w:p w:rsidR="00F24105" w:rsidRDefault="00F24105">
      <w:pPr>
        <w:widowControl w:val="0"/>
        <w:spacing w:before="240" w:after="240"/>
        <w:ind w:left="1440"/>
        <w:jc w:val="both"/>
        <w:rPr>
          <w:rFonts w:ascii="Arial" w:eastAsia="Arial" w:hAnsi="Arial" w:cs="Arial"/>
          <w:sz w:val="18"/>
          <w:szCs w:val="18"/>
        </w:rPr>
      </w:pPr>
    </w:p>
    <w:p w:rsidR="00F24105" w:rsidRDefault="00197571">
      <w:pPr>
        <w:widowControl w:val="0"/>
        <w:numPr>
          <w:ilvl w:val="0"/>
          <w:numId w:val="5"/>
        </w:numPr>
        <w:spacing w:before="240" w:line="360" w:lineRule="auto"/>
        <w:jc w:val="both"/>
        <w:rPr>
          <w:rFonts w:ascii="Arial" w:eastAsia="Arial" w:hAnsi="Arial" w:cs="Arial"/>
          <w:sz w:val="18"/>
          <w:szCs w:val="18"/>
        </w:rPr>
      </w:pPr>
      <w:r>
        <w:rPr>
          <w:rFonts w:ascii="Arial" w:eastAsia="Arial" w:hAnsi="Arial" w:cs="Arial"/>
          <w:sz w:val="14"/>
          <w:szCs w:val="14"/>
        </w:rPr>
        <w:t xml:space="preserve"> </w:t>
      </w:r>
      <w:r>
        <w:rPr>
          <w:rFonts w:ascii="Arial" w:eastAsia="Arial" w:hAnsi="Arial" w:cs="Arial"/>
          <w:sz w:val="18"/>
          <w:szCs w:val="18"/>
        </w:rPr>
        <w:t>Asesoría y/o acompañamiento en procesos legales en casos de discriminación, a personas y organizaciones pertenecientes a los Pueblos Indígenas.</w:t>
      </w:r>
    </w:p>
    <w:p w:rsidR="00F24105" w:rsidRDefault="00197571">
      <w:pPr>
        <w:widowControl w:val="0"/>
        <w:numPr>
          <w:ilvl w:val="0"/>
          <w:numId w:val="6"/>
        </w:numPr>
        <w:spacing w:line="360" w:lineRule="auto"/>
        <w:jc w:val="both"/>
        <w:rPr>
          <w:rFonts w:ascii="Arial" w:eastAsia="Arial" w:hAnsi="Arial" w:cs="Arial"/>
          <w:sz w:val="18"/>
          <w:szCs w:val="18"/>
        </w:rPr>
      </w:pPr>
      <w:r>
        <w:rPr>
          <w:rFonts w:ascii="Arial" w:eastAsia="Arial" w:hAnsi="Arial" w:cs="Arial"/>
          <w:sz w:val="18"/>
          <w:szCs w:val="18"/>
        </w:rPr>
        <w:t>Metas 8</w:t>
      </w:r>
    </w:p>
    <w:p w:rsidR="00F24105" w:rsidRDefault="00197571">
      <w:pPr>
        <w:widowControl w:val="0"/>
        <w:numPr>
          <w:ilvl w:val="0"/>
          <w:numId w:val="6"/>
        </w:numPr>
        <w:spacing w:line="360" w:lineRule="auto"/>
        <w:jc w:val="both"/>
        <w:rPr>
          <w:rFonts w:ascii="Arial" w:eastAsia="Arial" w:hAnsi="Arial" w:cs="Arial"/>
          <w:sz w:val="18"/>
          <w:szCs w:val="18"/>
        </w:rPr>
      </w:pPr>
      <w:r>
        <w:rPr>
          <w:rFonts w:ascii="Arial" w:eastAsia="Arial" w:hAnsi="Arial" w:cs="Arial"/>
          <w:sz w:val="18"/>
          <w:szCs w:val="18"/>
        </w:rPr>
        <w:t>Presupuesto vigente: Q. 6000.00</w:t>
      </w:r>
    </w:p>
    <w:p w:rsidR="00F24105" w:rsidRDefault="00197571">
      <w:pPr>
        <w:widowControl w:val="0"/>
        <w:numPr>
          <w:ilvl w:val="0"/>
          <w:numId w:val="6"/>
        </w:numPr>
        <w:spacing w:line="360" w:lineRule="auto"/>
        <w:jc w:val="both"/>
        <w:rPr>
          <w:rFonts w:ascii="Arial" w:eastAsia="Arial" w:hAnsi="Arial" w:cs="Arial"/>
          <w:sz w:val="18"/>
          <w:szCs w:val="18"/>
        </w:rPr>
      </w:pPr>
      <w:r>
        <w:rPr>
          <w:rFonts w:ascii="Arial" w:eastAsia="Arial" w:hAnsi="Arial" w:cs="Arial"/>
          <w:sz w:val="18"/>
          <w:szCs w:val="18"/>
        </w:rPr>
        <w:t>Presupuesto ejecutado Q. 0.00</w:t>
      </w:r>
    </w:p>
    <w:p w:rsidR="00F24105" w:rsidRDefault="00197571">
      <w:pPr>
        <w:widowControl w:val="0"/>
        <w:numPr>
          <w:ilvl w:val="0"/>
          <w:numId w:val="6"/>
        </w:numPr>
        <w:spacing w:after="240" w:line="360" w:lineRule="auto"/>
        <w:jc w:val="both"/>
        <w:rPr>
          <w:rFonts w:ascii="Arial" w:eastAsia="Arial" w:hAnsi="Arial" w:cs="Arial"/>
          <w:sz w:val="18"/>
          <w:szCs w:val="18"/>
        </w:rPr>
      </w:pPr>
      <w:r>
        <w:rPr>
          <w:rFonts w:ascii="Arial" w:eastAsia="Arial" w:hAnsi="Arial" w:cs="Arial"/>
          <w:sz w:val="18"/>
          <w:szCs w:val="18"/>
        </w:rPr>
        <w:t>Fuente de Financiamiento</w:t>
      </w:r>
    </w:p>
    <w:p w:rsidR="00F24105" w:rsidRDefault="00197571">
      <w:pPr>
        <w:widowControl w:val="0"/>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 xml:space="preserve">Para el desarrollo de sus acciones, la CODISRA cuenta con una sede central ubicada en la ciudad de Guatemala, así como, cinco oficinas departamentales ubicadas en: Cuilapa, Santa Rosa; Quetzaltenango, Quetzaltenango; Huehuetenango, Huehuetenango; Cobán, Alta Verapaz y Puerto Barrios, Izabal.  </w:t>
      </w:r>
    </w:p>
    <w:p w:rsidR="00F24105" w:rsidRDefault="00197571">
      <w:pPr>
        <w:widowControl w:val="0"/>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El plazo de ejecución es correspondiente enero a abril de 2021</w:t>
      </w:r>
    </w:p>
    <w:p w:rsidR="00F24105" w:rsidRDefault="00197571">
      <w:pPr>
        <w:pStyle w:val="Ttulo1"/>
        <w:widowControl w:val="0"/>
        <w:ind w:firstLine="0"/>
        <w:jc w:val="left"/>
        <w:rPr>
          <w:rFonts w:ascii="Montserrat ExtraBold" w:eastAsia="Montserrat ExtraBold" w:hAnsi="Montserrat ExtraBold" w:cs="Montserrat ExtraBold"/>
          <w:b w:val="0"/>
          <w:color w:val="003A5D"/>
          <w:sz w:val="32"/>
          <w:szCs w:val="32"/>
        </w:rPr>
      </w:pPr>
      <w:bookmarkStart w:id="3" w:name="_heading=h.bpe1qqdxla6z" w:colFirst="0" w:colLast="0"/>
      <w:bookmarkEnd w:id="3"/>
      <w:r>
        <w:rPr>
          <w:rFonts w:ascii="Montserrat ExtraBold" w:eastAsia="Montserrat ExtraBold" w:hAnsi="Montserrat ExtraBold" w:cs="Montserrat ExtraBold"/>
          <w:b w:val="0"/>
          <w:color w:val="003A5D"/>
          <w:sz w:val="32"/>
          <w:szCs w:val="32"/>
        </w:rPr>
        <w:t>Logros y tendencias</w:t>
      </w:r>
    </w:p>
    <w:p w:rsidR="00F24105" w:rsidRDefault="00197571">
      <w:pPr>
        <w:spacing w:before="240" w:after="240" w:line="360" w:lineRule="auto"/>
        <w:jc w:val="both"/>
        <w:rPr>
          <w:rFonts w:ascii="Arial" w:eastAsia="Arial" w:hAnsi="Arial" w:cs="Arial"/>
          <w:sz w:val="18"/>
          <w:szCs w:val="18"/>
        </w:rPr>
      </w:pPr>
      <w:r>
        <w:rPr>
          <w:rFonts w:ascii="Arial" w:eastAsia="Arial" w:hAnsi="Arial" w:cs="Arial"/>
          <w:sz w:val="18"/>
          <w:szCs w:val="18"/>
        </w:rPr>
        <w:t>La institucionalidad del Estado asuma el compromiso establecido en el Acuerdo Gubernativo 143-2014, que mandata la implementación de las acciones de la Política Pública para la Convivencia y la Eliminación del Racismo y la Discriminación Racial, basados en sus mandatos institucionales.</w:t>
      </w:r>
    </w:p>
    <w:p w:rsidR="00F24105" w:rsidRDefault="00197571">
      <w:pPr>
        <w:spacing w:before="240" w:after="240" w:line="360" w:lineRule="auto"/>
        <w:jc w:val="both"/>
        <w:rPr>
          <w:rFonts w:ascii="Arial" w:eastAsia="Arial" w:hAnsi="Arial" w:cs="Arial"/>
          <w:sz w:val="18"/>
          <w:szCs w:val="18"/>
        </w:rPr>
      </w:pPr>
      <w:r>
        <w:rPr>
          <w:rFonts w:ascii="Arial" w:eastAsia="Arial" w:hAnsi="Arial" w:cs="Arial"/>
          <w:sz w:val="18"/>
          <w:szCs w:val="18"/>
        </w:rPr>
        <w:t>Que sea efectiva la incorporación del enfoque de Derechos de los Pueblos Indígenas en planes, programas y políticas públicas de las instituciones, como medida afirmativa que contribuya al cierre de las brechas de desigualdad.</w:t>
      </w:r>
    </w:p>
    <w:p w:rsidR="00F24105" w:rsidRDefault="00197571">
      <w:pPr>
        <w:spacing w:before="240" w:after="240" w:line="360" w:lineRule="auto"/>
        <w:jc w:val="both"/>
        <w:rPr>
          <w:rFonts w:ascii="Arial" w:eastAsia="Arial" w:hAnsi="Arial" w:cs="Arial"/>
          <w:sz w:val="18"/>
          <w:szCs w:val="18"/>
        </w:rPr>
      </w:pPr>
      <w:r>
        <w:rPr>
          <w:rFonts w:ascii="Arial" w:eastAsia="Arial" w:hAnsi="Arial" w:cs="Arial"/>
          <w:sz w:val="18"/>
          <w:szCs w:val="18"/>
        </w:rPr>
        <w:t>Las instituciones productoras de información estadística institucionalicen la desagregación de sus registros administrativos por pueblo de pertenencia y comunidades lingüísticas, aplicando el Derecho a la Autoidentificación.</w:t>
      </w:r>
    </w:p>
    <w:p w:rsidR="00F24105" w:rsidRDefault="00197571">
      <w:pPr>
        <w:spacing w:before="240" w:after="240" w:line="360" w:lineRule="auto"/>
        <w:jc w:val="both"/>
        <w:rPr>
          <w:rFonts w:ascii="Arial" w:eastAsia="Arial" w:hAnsi="Arial" w:cs="Arial"/>
          <w:sz w:val="18"/>
          <w:szCs w:val="18"/>
        </w:rPr>
      </w:pPr>
      <w:r>
        <w:rPr>
          <w:rFonts w:ascii="Arial" w:eastAsia="Arial" w:hAnsi="Arial" w:cs="Arial"/>
          <w:sz w:val="18"/>
          <w:szCs w:val="18"/>
        </w:rPr>
        <w:lastRenderedPageBreak/>
        <w:t>Que la institucionalidad pública implemente acciones en respuesta a los compromisos nacionales e internacionales en materia de Derechos de los Pueblos Indígenas y lucha contra la Discriminación Racial.</w:t>
      </w:r>
    </w:p>
    <w:p w:rsidR="00F24105" w:rsidRDefault="00197571">
      <w:pPr>
        <w:pStyle w:val="Ttulo1"/>
        <w:ind w:firstLine="0"/>
        <w:jc w:val="left"/>
        <w:rPr>
          <w:rFonts w:ascii="Montserrat ExtraBold" w:eastAsia="Montserrat ExtraBold" w:hAnsi="Montserrat ExtraBold" w:cs="Montserrat ExtraBold"/>
          <w:b w:val="0"/>
          <w:color w:val="003A5D"/>
          <w:sz w:val="32"/>
          <w:szCs w:val="32"/>
        </w:rPr>
      </w:pPr>
      <w:bookmarkStart w:id="4" w:name="_heading=h.3znysh7" w:colFirst="0" w:colLast="0"/>
      <w:bookmarkEnd w:id="4"/>
      <w:r>
        <w:rPr>
          <w:rFonts w:ascii="Montserrat ExtraBold" w:eastAsia="Montserrat ExtraBold" w:hAnsi="Montserrat ExtraBold" w:cs="Montserrat ExtraBold"/>
          <w:b w:val="0"/>
          <w:color w:val="003A5D"/>
          <w:sz w:val="32"/>
          <w:szCs w:val="32"/>
        </w:rPr>
        <w:t>Conclusiones</w:t>
      </w:r>
    </w:p>
    <w:p w:rsidR="00F24105" w:rsidRDefault="00197571">
      <w:p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Las tendencias observadas en la ejecución presupuestaria fue la realización de la readecuación en virtud que no fue aprobado el presupuesto 2021 y atendiendo con lo que establece el Decreto No. 25-2018 que aprobó el Presupuesto 2019 vigente para los años 2020 y 2021, incluye disposiciones que promueven la transparencia y la calidad del gasto público, las cuales son complementarias a la Ley Orgánica del Presupuesto contenida en el Decreto No. 101-97 y sus reformas incluidas en los Decretos No. 13-2013 y 9-2014. Este presupuesto asignado a la CODISRA de diez millones y medio de quetzales, es para continuar atendiendo la implementación de las acciones de la Política Pública para la Convivencia y la Eliminación del Racismo y la Discriminación Racial.</w:t>
      </w:r>
    </w:p>
    <w:p w:rsidR="00F24105" w:rsidRDefault="00F24105">
      <w:pPr>
        <w:pBdr>
          <w:top w:val="nil"/>
          <w:left w:val="nil"/>
          <w:bottom w:val="nil"/>
          <w:right w:val="nil"/>
          <w:between w:val="nil"/>
        </w:pBdr>
        <w:spacing w:line="360" w:lineRule="auto"/>
        <w:jc w:val="both"/>
        <w:rPr>
          <w:rFonts w:ascii="Arial" w:eastAsia="Arial" w:hAnsi="Arial" w:cs="Arial"/>
          <w:color w:val="000000"/>
          <w:sz w:val="18"/>
          <w:szCs w:val="18"/>
        </w:rPr>
      </w:pPr>
    </w:p>
    <w:p w:rsidR="00F24105" w:rsidRDefault="00197571">
      <w:pPr>
        <w:pBdr>
          <w:top w:val="nil"/>
          <w:left w:val="nil"/>
          <w:bottom w:val="nil"/>
          <w:right w:val="nil"/>
          <w:between w:val="nil"/>
        </w:pBdr>
        <w:spacing w:line="360" w:lineRule="auto"/>
        <w:jc w:val="both"/>
        <w:rPr>
          <w:rFonts w:ascii="Arial" w:eastAsia="Arial" w:hAnsi="Arial" w:cs="Arial"/>
          <w:color w:val="000000"/>
          <w:sz w:val="18"/>
          <w:szCs w:val="18"/>
        </w:rPr>
      </w:pPr>
      <w:r>
        <w:rPr>
          <w:rFonts w:ascii="Arial" w:eastAsia="Arial" w:hAnsi="Arial" w:cs="Arial"/>
          <w:color w:val="000000"/>
          <w:sz w:val="18"/>
          <w:szCs w:val="18"/>
        </w:rPr>
        <w:t>Los resultados de corto y mediano plazo alcanzados en el marco de la Política General de Gobierno son positivas a pesar de estar viviendo la emergencia sanitaria a nivel mundial del COVID-19, se han implementado acciones en forma virtual y cumpliendo con los compromisos de atender a la población vulnerable ante el flagelo de la discriminación y el racismo, y el seguimiento a las recomendaciones nacionales e internacionales sobre este tema.</w:t>
      </w:r>
    </w:p>
    <w:p w:rsidR="000E3AD2" w:rsidRDefault="000E3AD2">
      <w:pPr>
        <w:pBdr>
          <w:top w:val="nil"/>
          <w:left w:val="nil"/>
          <w:bottom w:val="nil"/>
          <w:right w:val="nil"/>
          <w:between w:val="nil"/>
        </w:pBdr>
        <w:spacing w:line="360" w:lineRule="auto"/>
        <w:jc w:val="both"/>
        <w:rPr>
          <w:rFonts w:ascii="Arial" w:eastAsia="Arial" w:hAnsi="Arial" w:cs="Arial"/>
          <w:color w:val="000000"/>
          <w:sz w:val="18"/>
          <w:szCs w:val="18"/>
        </w:rPr>
      </w:pPr>
    </w:p>
    <w:p w:rsidR="000E3AD2" w:rsidRDefault="000E3AD2">
      <w:pPr>
        <w:pBdr>
          <w:top w:val="nil"/>
          <w:left w:val="nil"/>
          <w:bottom w:val="nil"/>
          <w:right w:val="nil"/>
          <w:between w:val="nil"/>
        </w:pBdr>
        <w:spacing w:line="360" w:lineRule="auto"/>
        <w:jc w:val="both"/>
        <w:rPr>
          <w:rFonts w:ascii="Arial" w:eastAsia="Arial" w:hAnsi="Arial" w:cs="Arial"/>
          <w:color w:val="000000"/>
          <w:sz w:val="18"/>
          <w:szCs w:val="18"/>
        </w:rPr>
      </w:pPr>
    </w:p>
    <w:p w:rsidR="000E3AD2" w:rsidRDefault="000E3AD2">
      <w:pPr>
        <w:pBdr>
          <w:top w:val="nil"/>
          <w:left w:val="nil"/>
          <w:bottom w:val="nil"/>
          <w:right w:val="nil"/>
          <w:between w:val="nil"/>
        </w:pBdr>
        <w:spacing w:line="360" w:lineRule="auto"/>
        <w:jc w:val="both"/>
        <w:rPr>
          <w:rFonts w:ascii="Arial" w:eastAsia="Arial" w:hAnsi="Arial" w:cs="Arial"/>
          <w:color w:val="000000"/>
          <w:sz w:val="18"/>
          <w:szCs w:val="18"/>
        </w:rPr>
      </w:pPr>
    </w:p>
    <w:p w:rsidR="000E3AD2" w:rsidRDefault="000E3AD2">
      <w:pPr>
        <w:pBdr>
          <w:top w:val="nil"/>
          <w:left w:val="nil"/>
          <w:bottom w:val="nil"/>
          <w:right w:val="nil"/>
          <w:between w:val="nil"/>
        </w:pBdr>
        <w:spacing w:line="360" w:lineRule="auto"/>
        <w:jc w:val="both"/>
        <w:rPr>
          <w:rFonts w:ascii="Arial" w:eastAsia="Arial" w:hAnsi="Arial" w:cs="Arial"/>
          <w:color w:val="000000"/>
          <w:sz w:val="18"/>
          <w:szCs w:val="18"/>
        </w:rPr>
      </w:pPr>
    </w:p>
    <w:p w:rsidR="000E3AD2" w:rsidRDefault="000E3AD2">
      <w:pPr>
        <w:pBdr>
          <w:top w:val="nil"/>
          <w:left w:val="nil"/>
          <w:bottom w:val="nil"/>
          <w:right w:val="nil"/>
          <w:between w:val="nil"/>
        </w:pBdr>
        <w:spacing w:line="360" w:lineRule="auto"/>
        <w:jc w:val="both"/>
        <w:rPr>
          <w:rFonts w:ascii="Arial" w:eastAsia="Arial" w:hAnsi="Arial" w:cs="Arial"/>
          <w:color w:val="000000"/>
          <w:sz w:val="18"/>
          <w:szCs w:val="18"/>
        </w:rPr>
      </w:pPr>
    </w:p>
    <w:p w:rsidR="000E3AD2" w:rsidRDefault="000E3AD2">
      <w:pPr>
        <w:pBdr>
          <w:top w:val="nil"/>
          <w:left w:val="nil"/>
          <w:bottom w:val="nil"/>
          <w:right w:val="nil"/>
          <w:between w:val="nil"/>
        </w:pBdr>
        <w:spacing w:line="360" w:lineRule="auto"/>
        <w:jc w:val="both"/>
        <w:rPr>
          <w:rFonts w:ascii="Arial" w:eastAsia="Arial" w:hAnsi="Arial" w:cs="Arial"/>
          <w:color w:val="000000"/>
          <w:sz w:val="18"/>
          <w:szCs w:val="18"/>
        </w:rPr>
      </w:pPr>
    </w:p>
    <w:p w:rsidR="000E3AD2" w:rsidRDefault="000E3AD2">
      <w:pPr>
        <w:pBdr>
          <w:top w:val="nil"/>
          <w:left w:val="nil"/>
          <w:bottom w:val="nil"/>
          <w:right w:val="nil"/>
          <w:between w:val="nil"/>
        </w:pBdr>
        <w:spacing w:line="360" w:lineRule="auto"/>
        <w:jc w:val="both"/>
        <w:rPr>
          <w:rFonts w:ascii="Arial" w:eastAsia="Arial" w:hAnsi="Arial" w:cs="Arial"/>
          <w:color w:val="000000"/>
          <w:sz w:val="18"/>
          <w:szCs w:val="18"/>
        </w:rPr>
      </w:pPr>
    </w:p>
    <w:p w:rsidR="000E3AD2" w:rsidRDefault="000E3AD2">
      <w:pPr>
        <w:pBdr>
          <w:top w:val="nil"/>
          <w:left w:val="nil"/>
          <w:bottom w:val="nil"/>
          <w:right w:val="nil"/>
          <w:between w:val="nil"/>
        </w:pBdr>
        <w:spacing w:line="360" w:lineRule="auto"/>
        <w:jc w:val="both"/>
        <w:rPr>
          <w:rFonts w:ascii="Arial" w:eastAsia="Arial" w:hAnsi="Arial" w:cs="Arial"/>
          <w:color w:val="000000"/>
          <w:sz w:val="18"/>
          <w:szCs w:val="18"/>
        </w:rPr>
      </w:pPr>
    </w:p>
    <w:p w:rsidR="000E3AD2" w:rsidRDefault="000E3AD2">
      <w:pPr>
        <w:pBdr>
          <w:top w:val="nil"/>
          <w:left w:val="nil"/>
          <w:bottom w:val="nil"/>
          <w:right w:val="nil"/>
          <w:between w:val="nil"/>
        </w:pBdr>
        <w:spacing w:line="360" w:lineRule="auto"/>
        <w:jc w:val="both"/>
        <w:rPr>
          <w:rFonts w:ascii="Arial" w:eastAsia="Arial" w:hAnsi="Arial" w:cs="Arial"/>
          <w:color w:val="000000"/>
          <w:sz w:val="18"/>
          <w:szCs w:val="18"/>
        </w:rPr>
      </w:pPr>
    </w:p>
    <w:p w:rsidR="000E3AD2" w:rsidRDefault="000E3AD2">
      <w:pPr>
        <w:pBdr>
          <w:top w:val="nil"/>
          <w:left w:val="nil"/>
          <w:bottom w:val="nil"/>
          <w:right w:val="nil"/>
          <w:between w:val="nil"/>
        </w:pBdr>
        <w:spacing w:line="360" w:lineRule="auto"/>
        <w:jc w:val="both"/>
        <w:rPr>
          <w:rFonts w:ascii="Arial" w:eastAsia="Arial" w:hAnsi="Arial" w:cs="Arial"/>
          <w:color w:val="000000"/>
          <w:sz w:val="18"/>
          <w:szCs w:val="18"/>
        </w:rPr>
      </w:pPr>
    </w:p>
    <w:p w:rsidR="000E3AD2" w:rsidRDefault="000E3AD2">
      <w:pPr>
        <w:pBdr>
          <w:top w:val="nil"/>
          <w:left w:val="nil"/>
          <w:bottom w:val="nil"/>
          <w:right w:val="nil"/>
          <w:between w:val="nil"/>
        </w:pBdr>
        <w:spacing w:line="360" w:lineRule="auto"/>
        <w:jc w:val="both"/>
        <w:rPr>
          <w:rFonts w:ascii="Arial" w:eastAsia="Arial" w:hAnsi="Arial" w:cs="Arial"/>
          <w:color w:val="000000"/>
          <w:sz w:val="18"/>
          <w:szCs w:val="18"/>
        </w:rPr>
      </w:pPr>
    </w:p>
    <w:p w:rsidR="000E3AD2" w:rsidRDefault="000E3AD2">
      <w:pPr>
        <w:pBdr>
          <w:top w:val="nil"/>
          <w:left w:val="nil"/>
          <w:bottom w:val="nil"/>
          <w:right w:val="nil"/>
          <w:between w:val="nil"/>
        </w:pBdr>
        <w:spacing w:line="360" w:lineRule="auto"/>
        <w:jc w:val="both"/>
        <w:rPr>
          <w:rFonts w:ascii="Arial" w:eastAsia="Arial" w:hAnsi="Arial" w:cs="Arial"/>
          <w:color w:val="000000"/>
          <w:sz w:val="18"/>
          <w:szCs w:val="18"/>
        </w:rPr>
      </w:pPr>
    </w:p>
    <w:p w:rsidR="000E3AD2" w:rsidRDefault="000E3AD2">
      <w:pPr>
        <w:pBdr>
          <w:top w:val="nil"/>
          <w:left w:val="nil"/>
          <w:bottom w:val="nil"/>
          <w:right w:val="nil"/>
          <w:between w:val="nil"/>
        </w:pBdr>
        <w:spacing w:line="360" w:lineRule="auto"/>
        <w:jc w:val="both"/>
        <w:rPr>
          <w:rFonts w:ascii="Arial" w:eastAsia="Arial" w:hAnsi="Arial" w:cs="Arial"/>
          <w:color w:val="000000"/>
          <w:sz w:val="18"/>
          <w:szCs w:val="18"/>
        </w:rPr>
      </w:pPr>
    </w:p>
    <w:p w:rsidR="000E3AD2" w:rsidRDefault="000E3AD2">
      <w:pPr>
        <w:pBdr>
          <w:top w:val="nil"/>
          <w:left w:val="nil"/>
          <w:bottom w:val="nil"/>
          <w:right w:val="nil"/>
          <w:between w:val="nil"/>
        </w:pBdr>
        <w:spacing w:line="360" w:lineRule="auto"/>
        <w:jc w:val="both"/>
        <w:rPr>
          <w:rFonts w:ascii="Arial" w:eastAsia="Arial" w:hAnsi="Arial" w:cs="Arial"/>
          <w:color w:val="000000"/>
          <w:sz w:val="18"/>
          <w:szCs w:val="18"/>
        </w:rPr>
      </w:pPr>
    </w:p>
    <w:p w:rsidR="000E3AD2" w:rsidRDefault="000E3AD2">
      <w:pPr>
        <w:pBdr>
          <w:top w:val="nil"/>
          <w:left w:val="nil"/>
          <w:bottom w:val="nil"/>
          <w:right w:val="nil"/>
          <w:between w:val="nil"/>
        </w:pBdr>
        <w:spacing w:line="360" w:lineRule="auto"/>
        <w:jc w:val="both"/>
        <w:rPr>
          <w:rFonts w:ascii="Arial" w:eastAsia="Arial" w:hAnsi="Arial" w:cs="Arial"/>
          <w:color w:val="000000"/>
          <w:sz w:val="18"/>
          <w:szCs w:val="18"/>
        </w:rPr>
      </w:pPr>
    </w:p>
    <w:p w:rsidR="000E3AD2" w:rsidRDefault="000E3AD2">
      <w:pPr>
        <w:pBdr>
          <w:top w:val="nil"/>
          <w:left w:val="nil"/>
          <w:bottom w:val="nil"/>
          <w:right w:val="nil"/>
          <w:between w:val="nil"/>
        </w:pBdr>
        <w:spacing w:line="360" w:lineRule="auto"/>
        <w:jc w:val="both"/>
        <w:rPr>
          <w:rFonts w:ascii="Arial" w:eastAsia="Arial" w:hAnsi="Arial" w:cs="Arial"/>
          <w:color w:val="000000"/>
          <w:sz w:val="18"/>
          <w:szCs w:val="18"/>
        </w:rPr>
      </w:pPr>
    </w:p>
    <w:p w:rsidR="000E3AD2" w:rsidRDefault="000E3AD2">
      <w:pPr>
        <w:pBdr>
          <w:top w:val="nil"/>
          <w:left w:val="nil"/>
          <w:bottom w:val="nil"/>
          <w:right w:val="nil"/>
          <w:between w:val="nil"/>
        </w:pBdr>
        <w:spacing w:line="360" w:lineRule="auto"/>
        <w:jc w:val="both"/>
        <w:rPr>
          <w:rFonts w:ascii="Arial" w:eastAsia="Arial" w:hAnsi="Arial" w:cs="Arial"/>
          <w:color w:val="000000"/>
          <w:sz w:val="18"/>
          <w:szCs w:val="18"/>
        </w:rPr>
      </w:pPr>
    </w:p>
    <w:p w:rsidR="00F24105" w:rsidRDefault="00911B94" w:rsidP="000E3AD2">
      <w:pPr>
        <w:pStyle w:val="Ttulo1"/>
        <w:ind w:firstLine="0"/>
        <w:jc w:val="left"/>
        <w:rPr>
          <w:rFonts w:ascii="Montserrat ExtraBold" w:eastAsia="Montserrat ExtraBold" w:hAnsi="Montserrat ExtraBold" w:cs="Montserrat ExtraBold"/>
          <w:b w:val="0"/>
          <w:color w:val="003A5D"/>
          <w:sz w:val="32"/>
          <w:szCs w:val="32"/>
        </w:rPr>
      </w:pPr>
      <w:bookmarkStart w:id="5" w:name="_heading=h.2et92p0" w:colFirst="0" w:colLast="0"/>
      <w:bookmarkEnd w:id="5"/>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5pt;margin-top:354.45pt;width:442.5pt;height:273.6pt;z-index:251673600;mso-position-horizontal-relative:text;mso-position-vertical-relative:text;mso-width-relative:page;mso-height-relative:page">
            <v:imagedata r:id="rId18" o:title="Anexos rendición de cuentas_1_page-0001"/>
            <w10:wrap type="square"/>
          </v:shape>
        </w:pict>
      </w:r>
      <w:r>
        <w:rPr>
          <w:noProof/>
        </w:rPr>
        <w:pict>
          <v:shape id="_x0000_s1026" type="#_x0000_t75" style="position:absolute;margin-left:-.45pt;margin-top:30.75pt;width:442.5pt;height:275.6pt;z-index:251671552;mso-position-horizontal-relative:text;mso-position-vertical-relative:text;mso-width-relative:page;mso-height-relative:page">
            <v:imagedata r:id="rId19" o:title="REPORTE EJEC METAS FISICAS 1ER CUATRI 2021_page-0001"/>
            <w10:wrap type="square"/>
          </v:shape>
        </w:pict>
      </w:r>
      <w:r w:rsidR="00197571">
        <w:rPr>
          <w:rFonts w:ascii="Montserrat ExtraBold" w:eastAsia="Montserrat ExtraBold" w:hAnsi="Montserrat ExtraBold" w:cs="Montserrat ExtraBold"/>
          <w:b w:val="0"/>
          <w:color w:val="003A5D"/>
          <w:sz w:val="32"/>
          <w:szCs w:val="32"/>
        </w:rPr>
        <w:t>Anexo</w:t>
      </w:r>
    </w:p>
    <w:p w:rsidR="000E3AD2" w:rsidRPr="000E3AD2" w:rsidRDefault="000E3AD2" w:rsidP="000E3AD2">
      <w:pPr>
        <w:pStyle w:val="Normal1"/>
        <w:ind w:firstLine="0"/>
        <w:rPr>
          <w:rFonts w:eastAsia="Arial"/>
        </w:rPr>
      </w:pPr>
    </w:p>
    <w:p w:rsidR="000961C8" w:rsidRDefault="000961C8">
      <w:pPr>
        <w:jc w:val="both"/>
        <w:rPr>
          <w:rFonts w:ascii="Arial" w:eastAsia="Arial" w:hAnsi="Arial" w:cs="Arial"/>
          <w:color w:val="000000"/>
          <w:sz w:val="18"/>
          <w:szCs w:val="18"/>
        </w:rPr>
      </w:pPr>
    </w:p>
    <w:p w:rsidR="00F24105" w:rsidRDefault="00F24105">
      <w:pPr>
        <w:jc w:val="both"/>
        <w:rPr>
          <w:rFonts w:ascii="Arial" w:eastAsia="Arial" w:hAnsi="Arial" w:cs="Arial"/>
          <w:color w:val="000000"/>
          <w:sz w:val="18"/>
          <w:szCs w:val="18"/>
        </w:rPr>
      </w:pPr>
    </w:p>
    <w:p w:rsidR="000961C8" w:rsidRDefault="00911B94">
      <w:pPr>
        <w:jc w:val="both"/>
        <w:rPr>
          <w:rFonts w:ascii="Arial" w:eastAsia="Arial" w:hAnsi="Arial" w:cs="Arial"/>
          <w:color w:val="000000"/>
          <w:sz w:val="18"/>
          <w:szCs w:val="18"/>
        </w:rPr>
      </w:pPr>
      <w:r>
        <w:rPr>
          <w:noProof/>
        </w:rPr>
        <w:lastRenderedPageBreak/>
        <w:pict>
          <v:shape id="_x0000_s1028" type="#_x0000_t75" style="position:absolute;left:0;text-align:left;margin-left:.05pt;margin-top:.2pt;width:441.5pt;height:281.25pt;z-index:251675648;mso-position-horizontal-relative:text;mso-position-vertical-relative:text;mso-width-relative:page;mso-height-relative:page">
            <v:imagedata r:id="rId20" o:title="Anexos rendición de cuentas_1_page-0002"/>
            <w10:wrap type="square"/>
          </v:shape>
        </w:pict>
      </w:r>
    </w:p>
    <w:p w:rsidR="000961C8" w:rsidRDefault="000961C8">
      <w:pPr>
        <w:jc w:val="both"/>
        <w:rPr>
          <w:rFonts w:ascii="Arial" w:eastAsia="Arial" w:hAnsi="Arial" w:cs="Arial"/>
          <w:color w:val="000000"/>
          <w:sz w:val="18"/>
          <w:szCs w:val="18"/>
        </w:rPr>
      </w:pPr>
    </w:p>
    <w:p w:rsidR="000961C8" w:rsidRDefault="000961C8">
      <w:pPr>
        <w:jc w:val="both"/>
        <w:rPr>
          <w:rFonts w:ascii="Arial" w:eastAsia="Arial" w:hAnsi="Arial" w:cs="Arial"/>
          <w:color w:val="000000"/>
          <w:sz w:val="18"/>
          <w:szCs w:val="18"/>
        </w:rPr>
      </w:pPr>
    </w:p>
    <w:p w:rsidR="000961C8" w:rsidRDefault="00911B94">
      <w:pPr>
        <w:jc w:val="both"/>
        <w:rPr>
          <w:rFonts w:ascii="Arial" w:eastAsia="Arial" w:hAnsi="Arial" w:cs="Arial"/>
          <w:color w:val="000000"/>
          <w:sz w:val="18"/>
          <w:szCs w:val="18"/>
        </w:rPr>
      </w:pPr>
      <w:r>
        <w:rPr>
          <w:noProof/>
        </w:rPr>
        <w:pict>
          <v:shape id="_x0000_s1029" type="#_x0000_t75" style="position:absolute;left:0;text-align:left;margin-left:.05pt;margin-top:18.5pt;width:442.2pt;height:297.5pt;z-index:251677696;mso-position-horizontal-relative:text;mso-position-vertical-relative:text;mso-width-relative:page;mso-height-relative:page">
            <v:imagedata r:id="rId21" o:title="Anexos rendición de cuentas_1_page-0003"/>
            <w10:wrap type="square"/>
          </v:shape>
        </w:pict>
      </w:r>
    </w:p>
    <w:p w:rsidR="000961C8" w:rsidRDefault="00911B94">
      <w:pPr>
        <w:jc w:val="both"/>
        <w:rPr>
          <w:rFonts w:ascii="Arial" w:eastAsia="Arial" w:hAnsi="Arial" w:cs="Arial"/>
          <w:color w:val="000000"/>
          <w:sz w:val="18"/>
          <w:szCs w:val="18"/>
        </w:rPr>
      </w:pPr>
      <w:r>
        <w:rPr>
          <w:noProof/>
        </w:rPr>
        <w:lastRenderedPageBreak/>
        <w:pict>
          <v:shape id="_x0000_s1030" type="#_x0000_t75" style="position:absolute;left:0;text-align:left;margin-left:.1pt;margin-top:.3pt;width:442.2pt;height:259.45pt;z-index:251679744;mso-position-horizontal-relative:text;mso-position-vertical-relative:text;mso-width-relative:page;mso-height-relative:page">
            <v:imagedata r:id="rId22" o:title="Anexos rendición de cuentas_1_page-0004"/>
            <w10:wrap type="square"/>
          </v:shape>
        </w:pict>
      </w:r>
      <w:r>
        <w:rPr>
          <w:noProof/>
        </w:rPr>
        <w:pict>
          <v:shape id="_x0000_s1031" type="#_x0000_t75" style="position:absolute;left:0;text-align:left;margin-left:.8pt;margin-top:332.8pt;width:441.5pt;height:295.5pt;z-index:251681792;mso-position-horizontal-relative:text;mso-position-vertical-relative:text;mso-width-relative:page;mso-height-relative:page">
            <v:imagedata r:id="rId23" o:title="Anexos rendición de cuentas_1_page-0005"/>
            <w10:wrap type="square"/>
          </v:shape>
        </w:pict>
      </w:r>
    </w:p>
    <w:p w:rsidR="000961C8" w:rsidRPr="000961C8" w:rsidRDefault="000961C8" w:rsidP="000961C8">
      <w:pPr>
        <w:rPr>
          <w:rFonts w:ascii="Arial" w:eastAsia="Arial" w:hAnsi="Arial" w:cs="Arial"/>
          <w:sz w:val="18"/>
          <w:szCs w:val="18"/>
        </w:rPr>
      </w:pPr>
    </w:p>
    <w:p w:rsidR="000961C8" w:rsidRDefault="000961C8" w:rsidP="000961C8">
      <w:pPr>
        <w:rPr>
          <w:rFonts w:ascii="Arial" w:eastAsia="Arial" w:hAnsi="Arial" w:cs="Arial"/>
          <w:sz w:val="18"/>
          <w:szCs w:val="18"/>
        </w:rPr>
      </w:pPr>
    </w:p>
    <w:p w:rsidR="000961C8" w:rsidRDefault="000961C8" w:rsidP="000961C8">
      <w:pPr>
        <w:rPr>
          <w:rFonts w:ascii="Arial" w:eastAsia="Arial" w:hAnsi="Arial" w:cs="Arial"/>
          <w:sz w:val="18"/>
          <w:szCs w:val="18"/>
        </w:rPr>
      </w:pPr>
    </w:p>
    <w:p w:rsidR="000961C8" w:rsidRDefault="000961C8" w:rsidP="000961C8">
      <w:pPr>
        <w:rPr>
          <w:rFonts w:ascii="Arial" w:eastAsia="Arial" w:hAnsi="Arial" w:cs="Arial"/>
          <w:sz w:val="18"/>
          <w:szCs w:val="18"/>
        </w:rPr>
      </w:pPr>
    </w:p>
    <w:p w:rsidR="000961C8" w:rsidRDefault="000961C8" w:rsidP="000961C8">
      <w:pPr>
        <w:rPr>
          <w:rFonts w:ascii="Arial" w:eastAsia="Arial" w:hAnsi="Arial" w:cs="Arial"/>
          <w:sz w:val="18"/>
          <w:szCs w:val="18"/>
        </w:rPr>
      </w:pPr>
    </w:p>
    <w:p w:rsidR="000961C8" w:rsidRDefault="000961C8" w:rsidP="000961C8">
      <w:pPr>
        <w:rPr>
          <w:rFonts w:ascii="Arial" w:eastAsia="Arial" w:hAnsi="Arial" w:cs="Arial"/>
          <w:sz w:val="18"/>
          <w:szCs w:val="18"/>
        </w:rPr>
      </w:pPr>
    </w:p>
    <w:p w:rsidR="00BF7B67" w:rsidRDefault="00BF7B67" w:rsidP="000961C8">
      <w:pPr>
        <w:rPr>
          <w:rFonts w:ascii="Arial" w:eastAsia="Arial" w:hAnsi="Arial" w:cs="Arial"/>
          <w:sz w:val="18"/>
          <w:szCs w:val="18"/>
        </w:rPr>
      </w:pPr>
      <w:r>
        <w:rPr>
          <w:noProof/>
        </w:rPr>
        <w:lastRenderedPageBreak/>
        <w:pict>
          <v:shape id="_x0000_s1033" type="#_x0000_t75" style="position:absolute;margin-left:-28.35pt;margin-top:317.3pt;width:498.5pt;height:209.9pt;z-index:251685888;mso-position-horizontal-relative:text;mso-position-vertical-relative:text;mso-width-relative:page;mso-height-relative:page">
            <v:imagedata r:id="rId24" o:title="Formatos MRC 1er. Cuatrimestre 2021_page-0001"/>
            <w10:wrap type="square"/>
          </v:shape>
        </w:pict>
      </w:r>
      <w:r w:rsidR="00911B94">
        <w:rPr>
          <w:noProof/>
        </w:rPr>
        <w:pict>
          <v:shape id="_x0000_s1032" type="#_x0000_t75" style="position:absolute;margin-left:0;margin-top:.25pt;width:442.2pt;height:249.15pt;z-index:251683840;mso-position-horizontal:center;mso-position-horizontal-relative:text;mso-position-vertical:absolute;mso-position-vertical-relative:text;mso-width-relative:page;mso-height-relative:page">
            <v:imagedata r:id="rId25" o:title="Anexos rendición de cuentas_1_page-0006"/>
            <w10:wrap type="square"/>
          </v:shape>
        </w:pict>
      </w: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Default="00BF7B67" w:rsidP="00BF7B67">
      <w:pPr>
        <w:rPr>
          <w:rFonts w:ascii="Arial" w:eastAsia="Arial" w:hAnsi="Arial" w:cs="Arial"/>
          <w:sz w:val="18"/>
          <w:szCs w:val="18"/>
        </w:rPr>
      </w:pPr>
    </w:p>
    <w:p w:rsidR="00BF7B67" w:rsidRDefault="00BF7B67" w:rsidP="00BF7B67">
      <w:pPr>
        <w:rPr>
          <w:rFonts w:ascii="Arial" w:eastAsia="Arial" w:hAnsi="Arial" w:cs="Arial"/>
          <w:sz w:val="18"/>
          <w:szCs w:val="18"/>
        </w:rPr>
      </w:pPr>
    </w:p>
    <w:p w:rsidR="00BF7B67" w:rsidRDefault="00BF7B67" w:rsidP="00BF7B67">
      <w:pPr>
        <w:rPr>
          <w:rFonts w:ascii="Arial" w:eastAsia="Arial" w:hAnsi="Arial" w:cs="Arial"/>
          <w:sz w:val="18"/>
          <w:szCs w:val="18"/>
        </w:rPr>
      </w:pPr>
    </w:p>
    <w:p w:rsidR="00BF7B67" w:rsidRDefault="00BF7B67" w:rsidP="00BF7B67">
      <w:pPr>
        <w:rPr>
          <w:rFonts w:ascii="Arial" w:eastAsia="Arial" w:hAnsi="Arial" w:cs="Arial"/>
          <w:sz w:val="18"/>
          <w:szCs w:val="18"/>
        </w:rPr>
      </w:pPr>
    </w:p>
    <w:p w:rsidR="00BF7B67" w:rsidRDefault="00BF7B67" w:rsidP="00BF7B67">
      <w:pPr>
        <w:rPr>
          <w:rFonts w:ascii="Arial" w:eastAsia="Arial" w:hAnsi="Arial" w:cs="Arial"/>
          <w:sz w:val="18"/>
          <w:szCs w:val="18"/>
        </w:rPr>
      </w:pPr>
    </w:p>
    <w:p w:rsid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r>
        <w:rPr>
          <w:noProof/>
        </w:rPr>
        <w:lastRenderedPageBreak/>
        <w:pict>
          <v:shape id="_x0000_s1036" type="#_x0000_t75" style="position:absolute;margin-left:-.3pt;margin-top:395.25pt;width:442.5pt;height:193.1pt;z-index:251692032;mso-position-horizontal-relative:text;mso-position-vertical-relative:text;mso-width-relative:page;mso-height-relative:page">
            <v:imagedata r:id="rId26" o:title="Formatos MRC 1er. Cuatrimestre 2021_page-0004"/>
            <w10:wrap type="square"/>
          </v:shape>
        </w:pict>
      </w:r>
      <w:r>
        <w:rPr>
          <w:noProof/>
        </w:rPr>
        <w:pict>
          <v:shape id="_x0000_s1035" type="#_x0000_t75" style="position:absolute;margin-left:-15.9pt;margin-top:165pt;width:473.65pt;height:221.95pt;z-index:251689984;mso-position-horizontal-relative:text;mso-position-vertical-relative:text;mso-width-relative:page;mso-height-relative:page">
            <v:imagedata r:id="rId27" o:title="Formatos MRC 1er. Cuatrimestre 2021_page-0003"/>
            <w10:wrap type="square"/>
          </v:shape>
        </w:pict>
      </w:r>
      <w:r>
        <w:rPr>
          <w:noProof/>
        </w:rPr>
        <w:pict>
          <v:shape id="_x0000_s1034" type="#_x0000_t75" style="position:absolute;margin-left:-21.6pt;margin-top:.15pt;width:483.95pt;height:180.75pt;z-index:251687936;mso-position-horizontal-relative:text;mso-position-vertical-relative:text;mso-width-relative:page;mso-height-relative:page">
            <v:imagedata r:id="rId28" o:title="Formatos MRC 1er. Cuatrimestre 2021_page-0002"/>
            <w10:wrap type="square"/>
          </v:shape>
        </w:pict>
      </w: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r>
        <w:rPr>
          <w:noProof/>
        </w:rPr>
        <w:lastRenderedPageBreak/>
        <w:pict>
          <v:shape id="_x0000_s1037" type="#_x0000_t75" style="position:absolute;margin-left:-.3pt;margin-top:.15pt;width:441.75pt;height:183.75pt;z-index:251694080;mso-position-horizontal-relative:text;mso-position-vertical-relative:text;mso-width-relative:page;mso-height-relative:page">
            <v:imagedata r:id="rId29" o:title="Formatos MRC 1er. Cuatrimestre 2021_page-0005"/>
            <w10:wrap type="square"/>
          </v:shape>
        </w:pict>
      </w: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p>
    <w:p w:rsidR="00BF7B67" w:rsidRPr="00BF7B67" w:rsidRDefault="00BF7B67" w:rsidP="00BF7B67">
      <w:pPr>
        <w:rPr>
          <w:rFonts w:ascii="Arial" w:eastAsia="Arial" w:hAnsi="Arial" w:cs="Arial"/>
          <w:sz w:val="18"/>
          <w:szCs w:val="18"/>
        </w:rPr>
      </w:pPr>
      <w:bookmarkStart w:id="6" w:name="_GoBack"/>
      <w:bookmarkEnd w:id="6"/>
    </w:p>
    <w:p w:rsidR="000961C8" w:rsidRPr="00BF7B67" w:rsidRDefault="000961C8" w:rsidP="00BF7B67">
      <w:pPr>
        <w:rPr>
          <w:rFonts w:ascii="Arial" w:eastAsia="Arial" w:hAnsi="Arial" w:cs="Arial"/>
          <w:sz w:val="18"/>
          <w:szCs w:val="18"/>
        </w:rPr>
      </w:pPr>
    </w:p>
    <w:sectPr w:rsidR="000961C8" w:rsidRPr="00BF7B67">
      <w:headerReference w:type="even" r:id="rId30"/>
      <w:headerReference w:type="default" r:id="rId31"/>
      <w:footerReference w:type="even" r:id="rId32"/>
      <w:footerReference w:type="default" r:id="rId33"/>
      <w:headerReference w:type="first" r:id="rId34"/>
      <w:footerReference w:type="first" r:id="rId35"/>
      <w:pgSz w:w="12240" w:h="15840"/>
      <w:pgMar w:top="1418" w:right="1701" w:bottom="1418"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B94" w:rsidRDefault="00911B94">
      <w:r>
        <w:separator/>
      </w:r>
    </w:p>
  </w:endnote>
  <w:endnote w:type="continuationSeparator" w:id="0">
    <w:p w:rsidR="00911B94" w:rsidRDefault="0091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ontserrat ExtraBold">
    <w:panose1 w:val="00000900000000000000"/>
    <w:charset w:val="00"/>
    <w:family w:val="modern"/>
    <w:notTrueType/>
    <w:pitch w:val="variable"/>
    <w:sig w:usb0="2000020F" w:usb1="00000003" w:usb2="00000000" w:usb3="00000000" w:csb0="00000197" w:csb1="00000000"/>
  </w:font>
  <w:font w:name="Montserrat SemiBold">
    <w:panose1 w:val="000007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5" w:rsidRDefault="00F2410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5" w:rsidRDefault="00F24105">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5" w:rsidRDefault="00F2410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B94" w:rsidRDefault="00911B94">
      <w:r>
        <w:separator/>
      </w:r>
    </w:p>
  </w:footnote>
  <w:footnote w:type="continuationSeparator" w:id="0">
    <w:p w:rsidR="00911B94" w:rsidRDefault="00911B94">
      <w:r>
        <w:continuationSeparator/>
      </w:r>
    </w:p>
  </w:footnote>
  <w:footnote w:id="1">
    <w:p w:rsidR="00F24105" w:rsidRDefault="00197571">
      <w:pPr>
        <w:pBdr>
          <w:top w:val="nil"/>
          <w:left w:val="nil"/>
          <w:bottom w:val="nil"/>
          <w:right w:val="nil"/>
          <w:between w:val="nil"/>
        </w:pBdr>
        <w:ind w:firstLine="720"/>
        <w:rPr>
          <w:color w:val="000000"/>
          <w:sz w:val="20"/>
          <w:szCs w:val="20"/>
        </w:rPr>
      </w:pPr>
      <w:r>
        <w:rPr>
          <w:vertAlign w:val="superscript"/>
        </w:rPr>
        <w:footnoteRef/>
      </w:r>
      <w:r>
        <w:rPr>
          <w:color w:val="000000"/>
          <w:sz w:val="20"/>
          <w:szCs w:val="20"/>
        </w:rPr>
        <w:t xml:space="preserve"> México, 31 de marzo de 1995.</w:t>
      </w:r>
    </w:p>
  </w:footnote>
  <w:footnote w:id="2">
    <w:p w:rsidR="00F24105" w:rsidRDefault="00197571">
      <w:pPr>
        <w:pBdr>
          <w:top w:val="nil"/>
          <w:left w:val="nil"/>
          <w:bottom w:val="nil"/>
          <w:right w:val="nil"/>
          <w:between w:val="nil"/>
        </w:pBdr>
        <w:ind w:firstLine="720"/>
        <w:rPr>
          <w:color w:val="000000"/>
          <w:sz w:val="20"/>
          <w:szCs w:val="20"/>
        </w:rPr>
      </w:pPr>
      <w:r>
        <w:rPr>
          <w:vertAlign w:val="superscript"/>
        </w:rPr>
        <w:footnoteRef/>
      </w:r>
      <w:r>
        <w:rPr>
          <w:color w:val="000000"/>
          <w:sz w:val="20"/>
          <w:szCs w:val="20"/>
        </w:rPr>
        <w:t xml:space="preserve"> Decreto Ley 105-82.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5" w:rsidRDefault="00F24105">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5" w:rsidRDefault="00197571">
    <w:pPr>
      <w:tabs>
        <w:tab w:val="center" w:pos="4419"/>
        <w:tab w:val="right" w:pos="8838"/>
      </w:tabs>
      <w:rPr>
        <w:rFonts w:ascii="Montserrat SemiBold" w:eastAsia="Montserrat SemiBold" w:hAnsi="Montserrat SemiBold" w:cs="Montserrat SemiBold"/>
        <w:b/>
        <w:color w:val="065D81"/>
        <w:sz w:val="26"/>
        <w:szCs w:val="26"/>
      </w:rPr>
    </w:pPr>
    <w:r>
      <w:rPr>
        <w:noProof/>
      </w:rPr>
      <w:drawing>
        <wp:anchor distT="0" distB="0" distL="0" distR="0" simplePos="0" relativeHeight="251658240" behindDoc="0" locked="0" layoutInCell="1" hidden="0" allowOverlap="1">
          <wp:simplePos x="0" y="0"/>
          <wp:positionH relativeFrom="column">
            <wp:posOffset>3676650</wp:posOffset>
          </wp:positionH>
          <wp:positionV relativeFrom="paragraph">
            <wp:posOffset>-152399</wp:posOffset>
          </wp:positionV>
          <wp:extent cx="2646998" cy="462888"/>
          <wp:effectExtent l="0" t="0" r="0" b="0"/>
          <wp:wrapTopAndBottom distT="0" dist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646998" cy="462888"/>
                  </a:xfrm>
                  <a:prstGeom prst="rect">
                    <a:avLst/>
                  </a:prstGeom>
                  <a:ln/>
                </pic:spPr>
              </pic:pic>
            </a:graphicData>
          </a:graphic>
        </wp:anchor>
      </w:drawing>
    </w:r>
  </w:p>
  <w:p w:rsidR="00F24105" w:rsidRDefault="00F24105">
    <w:pPr>
      <w:tabs>
        <w:tab w:val="center" w:pos="4419"/>
        <w:tab w:val="right" w:pos="8838"/>
      </w:tabs>
      <w:rPr>
        <w:rFonts w:ascii="Montserrat SemiBold" w:eastAsia="Montserrat SemiBold" w:hAnsi="Montserrat SemiBold" w:cs="Montserrat SemiBold"/>
        <w:b/>
        <w:color w:val="065D81"/>
        <w:sz w:val="26"/>
        <w:szCs w:val="2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5" w:rsidRDefault="00F24105">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B5F16"/>
    <w:multiLevelType w:val="multilevel"/>
    <w:tmpl w:val="55CAAB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CA40F5C"/>
    <w:multiLevelType w:val="multilevel"/>
    <w:tmpl w:val="D6DA28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22134E5"/>
    <w:multiLevelType w:val="multilevel"/>
    <w:tmpl w:val="072ED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A61437"/>
    <w:multiLevelType w:val="multilevel"/>
    <w:tmpl w:val="4EC436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1FE1FD7"/>
    <w:multiLevelType w:val="multilevel"/>
    <w:tmpl w:val="85BE3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F21179"/>
    <w:multiLevelType w:val="multilevel"/>
    <w:tmpl w:val="DFBE41D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6" w15:restartNumberingAfterBreak="0">
    <w:nsid w:val="6EFA4481"/>
    <w:multiLevelType w:val="multilevel"/>
    <w:tmpl w:val="BD9C8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076209B"/>
    <w:multiLevelType w:val="multilevel"/>
    <w:tmpl w:val="43801A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 w:numId="4">
    <w:abstractNumId w:val="5"/>
  </w:num>
  <w:num w:numId="5">
    <w:abstractNumId w:val="7"/>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105"/>
    <w:rsid w:val="00034ACA"/>
    <w:rsid w:val="000961C8"/>
    <w:rsid w:val="000E3AD2"/>
    <w:rsid w:val="00197571"/>
    <w:rsid w:val="004A6AF3"/>
    <w:rsid w:val="005D1073"/>
    <w:rsid w:val="00911B94"/>
    <w:rsid w:val="009274D8"/>
    <w:rsid w:val="00AA4004"/>
    <w:rsid w:val="00BF7B67"/>
    <w:rsid w:val="00C6773B"/>
    <w:rsid w:val="00F24105"/>
    <w:rsid w:val="00FF3A6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278D84AF"/>
  <w15:docId w15:val="{01CAF03B-4D0A-4984-BAA1-F39D088D0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GT" w:eastAsia="es-G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E85"/>
  </w:style>
  <w:style w:type="paragraph" w:styleId="Ttulo1">
    <w:name w:val="heading 1"/>
    <w:basedOn w:val="Normal1"/>
    <w:next w:val="Normal1"/>
    <w:link w:val="Ttulo1Car"/>
    <w:rsid w:val="009425A9"/>
    <w:pPr>
      <w:keepNext/>
      <w:keepLines/>
      <w:spacing w:before="400" w:after="120"/>
      <w:outlineLvl w:val="0"/>
    </w:pPr>
    <w:rPr>
      <w:b/>
      <w:sz w:val="40"/>
      <w:szCs w:val="40"/>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760D5B"/>
    <w:pPr>
      <w:tabs>
        <w:tab w:val="center" w:pos="4419"/>
        <w:tab w:val="right" w:pos="8838"/>
      </w:tabs>
    </w:pPr>
  </w:style>
  <w:style w:type="character" w:customStyle="1" w:styleId="EncabezadoCar">
    <w:name w:val="Encabezado Car"/>
    <w:basedOn w:val="Fuentedeprrafopredeter"/>
    <w:link w:val="Encabezado"/>
    <w:uiPriority w:val="99"/>
    <w:rsid w:val="00760D5B"/>
  </w:style>
  <w:style w:type="paragraph" w:styleId="Piedepgina">
    <w:name w:val="footer"/>
    <w:basedOn w:val="Normal"/>
    <w:link w:val="PiedepginaCar"/>
    <w:uiPriority w:val="99"/>
    <w:unhideWhenUsed/>
    <w:rsid w:val="00760D5B"/>
    <w:pPr>
      <w:tabs>
        <w:tab w:val="center" w:pos="4419"/>
        <w:tab w:val="right" w:pos="8838"/>
      </w:tabs>
    </w:pPr>
  </w:style>
  <w:style w:type="character" w:customStyle="1" w:styleId="PiedepginaCar">
    <w:name w:val="Pie de página Car"/>
    <w:basedOn w:val="Fuentedeprrafopredeter"/>
    <w:link w:val="Piedepgina"/>
    <w:uiPriority w:val="99"/>
    <w:rsid w:val="00760D5B"/>
  </w:style>
  <w:style w:type="character" w:customStyle="1" w:styleId="Ttulo1Car">
    <w:name w:val="Título 1 Car"/>
    <w:basedOn w:val="Fuentedeprrafopredeter"/>
    <w:link w:val="Ttulo1"/>
    <w:rsid w:val="009425A9"/>
    <w:rPr>
      <w:rFonts w:ascii="Times New Roman" w:eastAsia="Times New Roman" w:hAnsi="Times New Roman" w:cs="Times New Roman"/>
      <w:b/>
      <w:sz w:val="40"/>
      <w:szCs w:val="40"/>
      <w:lang w:eastAsia="es-ES"/>
    </w:rPr>
  </w:style>
  <w:style w:type="paragraph" w:customStyle="1" w:styleId="Normal1">
    <w:name w:val="Normal1"/>
    <w:rsid w:val="009425A9"/>
    <w:pPr>
      <w:spacing w:line="360" w:lineRule="auto"/>
      <w:ind w:firstLine="720"/>
      <w:jc w:val="both"/>
    </w:pPr>
    <w:rPr>
      <w:rFonts w:ascii="Times New Roman" w:eastAsia="Times New Roman" w:hAnsi="Times New Roman" w:cs="Times New Roman"/>
      <w:lang w:eastAsia="es-ES"/>
    </w:rPr>
  </w:style>
  <w:style w:type="paragraph" w:styleId="Textodeglobo">
    <w:name w:val="Balloon Text"/>
    <w:basedOn w:val="Normal"/>
    <w:link w:val="TextodegloboCar"/>
    <w:uiPriority w:val="99"/>
    <w:semiHidden/>
    <w:unhideWhenUsed/>
    <w:rsid w:val="009425A9"/>
    <w:rPr>
      <w:rFonts w:ascii="Tahoma" w:hAnsi="Tahoma" w:cs="Tahoma"/>
      <w:sz w:val="16"/>
      <w:szCs w:val="16"/>
    </w:rPr>
  </w:style>
  <w:style w:type="character" w:customStyle="1" w:styleId="TextodegloboCar">
    <w:name w:val="Texto de globo Car"/>
    <w:basedOn w:val="Fuentedeprrafopredeter"/>
    <w:link w:val="Textodeglobo"/>
    <w:uiPriority w:val="99"/>
    <w:semiHidden/>
    <w:rsid w:val="009425A9"/>
    <w:rPr>
      <w:rFonts w:ascii="Tahoma" w:hAnsi="Tahoma" w:cs="Tahoma"/>
      <w:sz w:val="16"/>
      <w:szCs w:val="16"/>
    </w:rPr>
  </w:style>
  <w:style w:type="paragraph" w:styleId="Descripcin">
    <w:name w:val="caption"/>
    <w:basedOn w:val="Normal"/>
    <w:next w:val="Normal"/>
    <w:uiPriority w:val="35"/>
    <w:unhideWhenUsed/>
    <w:qFormat/>
    <w:rsid w:val="006408A9"/>
    <w:pPr>
      <w:spacing w:after="200"/>
    </w:pPr>
    <w:rPr>
      <w:b/>
      <w:bCs/>
      <w:color w:val="4472C4" w:themeColor="accent1"/>
      <w:sz w:val="18"/>
      <w:szCs w:val="1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ek/SpigOvWBsPo6oEToG/HUzlA==">AMUW2mUGu3T8kx5hij1h35YgGH3bwaEGrRERnNURWitOSgaZH1Km+GPGd9ZdtcBLUIeMHrWxP27sRGCCZ1ztgMNR5vOPrbiGo2jLtRswFv6BSUKtdMT1CbuY4H28TCGL2QSFwyb8cg68bi1JUcbsoncbDGqrtuRU0eb56tzDb1BW11t0Q8ZrIxWjJy854R8K2Mfj33trXQIk5Wi+juEh1WV7gSgwAkutdw==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16</Pages>
  <Words>2825</Words>
  <Characters>15539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Wilson Leiva</cp:lastModifiedBy>
  <cp:revision>7</cp:revision>
  <cp:lastPrinted>2021-05-12T19:00:00Z</cp:lastPrinted>
  <dcterms:created xsi:type="dcterms:W3CDTF">2021-05-06T21:36:00Z</dcterms:created>
  <dcterms:modified xsi:type="dcterms:W3CDTF">2021-05-12T21:52:00Z</dcterms:modified>
</cp:coreProperties>
</file>